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6105" w14:textId="77777777" w:rsidR="00C22FF6" w:rsidRDefault="00C22FF6" w:rsidP="00C22FF6">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__________________________________________________________________________________________</w:t>
      </w:r>
    </w:p>
    <w:p w14:paraId="45CAFA3F" w14:textId="77777777" w:rsidR="00C22FF6" w:rsidRPr="005822CE" w:rsidRDefault="00C22FF6" w:rsidP="00C22FF6">
      <w:pPr>
        <w:autoSpaceDE w:val="0"/>
        <w:autoSpaceDN w:val="0"/>
        <w:adjustRightInd w:val="0"/>
        <w:spacing w:after="0" w:line="240" w:lineRule="auto"/>
        <w:rPr>
          <w:rFonts w:ascii="Times New Roman" w:hAnsi="Times New Roman" w:cs="Times New Roman"/>
          <w:color w:val="000000"/>
          <w:sz w:val="20"/>
          <w:szCs w:val="20"/>
        </w:rPr>
      </w:pPr>
      <w:r w:rsidRPr="005822CE">
        <w:rPr>
          <w:rFonts w:ascii="Times New Roman" w:hAnsi="Times New Roman" w:cs="Times New Roman"/>
          <w:i/>
          <w:iCs/>
          <w:color w:val="000000"/>
          <w:sz w:val="20"/>
          <w:szCs w:val="20"/>
        </w:rPr>
        <w:t xml:space="preserve">Heading </w:t>
      </w:r>
    </w:p>
    <w:p w14:paraId="16EF1F47" w14:textId="77777777" w:rsidR="00C22FF6" w:rsidRPr="00F34A29" w:rsidRDefault="00C22FF6" w:rsidP="00C22FF6">
      <w:pPr>
        <w:pStyle w:val="1"/>
        <w:jc w:val="center"/>
      </w:pPr>
      <w:r w:rsidRPr="005822CE">
        <w:rPr>
          <w:rFonts w:ascii="Times New Roman" w:eastAsiaTheme="minorHAnsi" w:hAnsi="Times New Roman" w:cs="Times New Roman"/>
          <w:b/>
          <w:bCs/>
          <w:color w:val="000000"/>
          <w:sz w:val="20"/>
          <w:szCs w:val="20"/>
        </w:rPr>
        <w:t>[Letterhead of Party A]</w:t>
      </w:r>
    </w:p>
    <w:p w14:paraId="6E8F98D8" w14:textId="77777777" w:rsidR="00C22FF6" w:rsidRPr="005822CE" w:rsidRDefault="00C22FF6"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color w:val="000000"/>
          <w:sz w:val="20"/>
          <w:szCs w:val="20"/>
        </w:rPr>
      </w:pPr>
      <w:r w:rsidRPr="005822CE">
        <w:rPr>
          <w:rFonts w:ascii="Times New Roman" w:hAnsi="Times New Roman" w:cs="Times New Roman"/>
          <w:color w:val="000000"/>
          <w:sz w:val="20"/>
          <w:szCs w:val="20"/>
        </w:rPr>
        <w:t>[Date]</w:t>
      </w:r>
    </w:p>
    <w:p w14:paraId="1225F8C4" w14:textId="77777777" w:rsidR="00C22FF6" w:rsidRPr="00F34A29" w:rsidRDefault="00C22FF6" w:rsidP="00C22FF6">
      <w:pPr>
        <w:rPr>
          <w:rFonts w:ascii="Times New Roman" w:hAnsi="Times New Roman" w:cs="Times New Roman"/>
          <w:b/>
          <w:color w:val="000000"/>
          <w:sz w:val="20"/>
          <w:szCs w:val="20"/>
        </w:rPr>
      </w:pPr>
    </w:p>
    <w:p w14:paraId="55C52223" w14:textId="77777777" w:rsidR="00C22FF6" w:rsidRPr="00F34A29" w:rsidRDefault="00C22FF6" w:rsidP="00C22FF6">
      <w:pPr>
        <w:jc w:val="center"/>
        <w:rPr>
          <w:rFonts w:ascii="Times New Roman" w:hAnsi="Times New Roman" w:cs="Times New Roman"/>
          <w:b/>
          <w:color w:val="000000"/>
          <w:sz w:val="20"/>
          <w:szCs w:val="20"/>
        </w:rPr>
      </w:pPr>
      <w:r w:rsidRPr="00F34A29">
        <w:rPr>
          <w:rFonts w:ascii="Times New Roman" w:hAnsi="Times New Roman" w:cs="Times New Roman"/>
          <w:b/>
          <w:color w:val="000000"/>
          <w:sz w:val="20"/>
          <w:szCs w:val="20"/>
        </w:rPr>
        <w:t>Interest Rate Swap Transaction</w:t>
      </w:r>
    </w:p>
    <w:p w14:paraId="33C916E1" w14:textId="77777777" w:rsidR="006979A8" w:rsidRDefault="006979A8"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olor w:val="000000"/>
          <w:sz w:val="20"/>
          <w:szCs w:val="20"/>
        </w:rPr>
      </w:pPr>
    </w:p>
    <w:p w14:paraId="6AB44975" w14:textId="77777777" w:rsidR="006979A8" w:rsidRDefault="006979A8"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olor w:val="000000"/>
          <w:sz w:val="20"/>
          <w:szCs w:val="20"/>
        </w:rPr>
      </w:pPr>
    </w:p>
    <w:p w14:paraId="53B912F7" w14:textId="732A2B39" w:rsidR="00C22FF6" w:rsidRPr="005822CE" w:rsidRDefault="00C22FF6"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color w:val="000000"/>
          <w:sz w:val="20"/>
          <w:szCs w:val="20"/>
        </w:rPr>
      </w:pPr>
      <w:r w:rsidRPr="005822CE">
        <w:rPr>
          <w:rFonts w:ascii="Times New Roman" w:hAnsi="Times New Roman" w:cs="Times New Roman"/>
          <w:b/>
          <w:bCs/>
          <w:color w:val="000000"/>
          <w:sz w:val="20"/>
          <w:szCs w:val="20"/>
        </w:rPr>
        <w:t>[Name and Address of Party B]</w:t>
      </w:r>
    </w:p>
    <w:p w14:paraId="7E19720E" w14:textId="77777777" w:rsidR="00C22FF6" w:rsidRDefault="00C22FF6"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__________________________________________________________________________________________</w:t>
      </w:r>
    </w:p>
    <w:p w14:paraId="31398B9B" w14:textId="77777777" w:rsidR="00C22FF6" w:rsidRPr="00F34A29" w:rsidRDefault="00C22FF6" w:rsidP="00C22FF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r w:rsidRPr="00F34A29">
        <w:rPr>
          <w:rFonts w:ascii="Times New Roman" w:hAnsi="Times New Roman" w:cs="Times New Roman"/>
          <w:color w:val="000000"/>
          <w:sz w:val="20"/>
          <w:szCs w:val="20"/>
        </w:rPr>
        <w:t>Ladies and Gentlemen:</w:t>
      </w:r>
    </w:p>
    <w:p w14:paraId="07AD915A" w14:textId="77777777" w:rsidR="00C22FF6" w:rsidRDefault="00C22FF6"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0"/>
          <w:szCs w:val="20"/>
        </w:rPr>
      </w:pPr>
    </w:p>
    <w:p w14:paraId="28ADED95" w14:textId="77777777" w:rsidR="00C22FF6" w:rsidRDefault="00C22FF6"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sidRPr="005822CE">
        <w:rPr>
          <w:rFonts w:ascii="Times New Roman" w:hAnsi="Times New Roman" w:cs="Times New Roman"/>
          <w:color w:val="000000"/>
          <w:sz w:val="20"/>
          <w:szCs w:val="20"/>
        </w:rPr>
        <w:t>The purpose of this letter</w:t>
      </w:r>
      <w:r>
        <w:rPr>
          <w:rFonts w:ascii="Times New Roman" w:hAnsi="Times New Roman" w:cs="Times New Roman"/>
          <w:color w:val="000000"/>
          <w:sz w:val="20"/>
          <w:szCs w:val="20"/>
        </w:rPr>
        <w:t xml:space="preserve"> agreement</w:t>
      </w:r>
      <w:r w:rsidRPr="005822CE">
        <w:rPr>
          <w:rFonts w:ascii="Times New Roman" w:hAnsi="Times New Roman" w:cs="Times New Roman"/>
          <w:color w:val="000000"/>
          <w:sz w:val="20"/>
          <w:szCs w:val="20"/>
        </w:rPr>
        <w:t xml:space="preserve"> (this “Confirmation”) </w:t>
      </w:r>
      <w:r w:rsidRPr="00F34A29">
        <w:rPr>
          <w:rFonts w:ascii="Times New Roman" w:hAnsi="Times New Roman" w:cs="Times New Roman"/>
          <w:color w:val="000000"/>
          <w:sz w:val="20"/>
          <w:szCs w:val="20"/>
        </w:rPr>
        <w:t xml:space="preserve">is to set forth the terms and conditions of the Transaction </w:t>
      </w:r>
      <w:proofErr w:type="gramStart"/>
      <w:r w:rsidRPr="00F34A29">
        <w:rPr>
          <w:rFonts w:ascii="Times New Roman" w:hAnsi="Times New Roman" w:cs="Times New Roman"/>
          <w:color w:val="000000"/>
          <w:sz w:val="20"/>
          <w:szCs w:val="20"/>
        </w:rPr>
        <w:t>entered into</w:t>
      </w:r>
      <w:proofErr w:type="gramEnd"/>
      <w:r w:rsidRPr="00F34A29">
        <w:rPr>
          <w:rFonts w:ascii="Times New Roman" w:hAnsi="Times New Roman" w:cs="Times New Roman"/>
          <w:color w:val="000000"/>
          <w:sz w:val="20"/>
          <w:szCs w:val="20"/>
        </w:rPr>
        <w:t xml:space="preserve"> between </w:t>
      </w:r>
      <w:r w:rsidRPr="005822CE">
        <w:rPr>
          <w:rFonts w:ascii="Times New Roman" w:hAnsi="Times New Roman" w:cs="Times New Roman"/>
          <w:color w:val="000000"/>
          <w:sz w:val="20"/>
          <w:szCs w:val="20"/>
        </w:rPr>
        <w:t>[Name of Party A] (“Party A”) and [Name of Party B] (“Party B”)</w:t>
      </w:r>
      <w:r>
        <w:rPr>
          <w:rFonts w:ascii="Times New Roman" w:hAnsi="Times New Roman" w:cs="Times New Roman"/>
          <w:color w:val="000000"/>
          <w:sz w:val="20"/>
          <w:szCs w:val="20"/>
        </w:rPr>
        <w:t xml:space="preserve"> </w:t>
      </w:r>
      <w:r w:rsidRPr="00F34A29">
        <w:rPr>
          <w:rFonts w:ascii="Times New Roman" w:hAnsi="Times New Roman" w:cs="Times New Roman"/>
          <w:color w:val="000000"/>
          <w:sz w:val="20"/>
          <w:szCs w:val="20"/>
        </w:rPr>
        <w:t xml:space="preserve">on the Trade Date specified below (the </w:t>
      </w:r>
      <w:r w:rsidRPr="00F34A29">
        <w:rPr>
          <w:rFonts w:ascii="Times New Roman" w:hAnsi="Times New Roman" w:cs="Times New Roman"/>
          <w:b/>
          <w:color w:val="000000"/>
          <w:sz w:val="20"/>
          <w:szCs w:val="20"/>
        </w:rPr>
        <w:t>“Transaction”</w:t>
      </w:r>
      <w:r w:rsidRPr="00F34A29">
        <w:rPr>
          <w:rFonts w:ascii="Times New Roman" w:hAnsi="Times New Roman" w:cs="Times New Roman"/>
          <w:color w:val="000000"/>
          <w:sz w:val="20"/>
          <w:szCs w:val="20"/>
        </w:rPr>
        <w:t xml:space="preserve">).  </w:t>
      </w:r>
    </w:p>
    <w:p w14:paraId="33803656" w14:textId="77777777" w:rsidR="00C22FF6" w:rsidRPr="005822CE" w:rsidRDefault="00C22FF6" w:rsidP="00C22FF6">
      <w:pPr>
        <w:jc w:val="both"/>
        <w:rPr>
          <w:rFonts w:ascii="Times New Roman" w:hAnsi="Times New Roman" w:cs="Times New Roman"/>
          <w:sz w:val="20"/>
          <w:szCs w:val="20"/>
        </w:rPr>
      </w:pPr>
      <w:r w:rsidRPr="00F34A29">
        <w:rPr>
          <w:rFonts w:ascii="Times New Roman" w:hAnsi="Times New Roman" w:cs="Times New Roman"/>
          <w:sz w:val="20"/>
          <w:szCs w:val="20"/>
        </w:rPr>
        <w:t>This Confirmation supersedes and replaces all prior communication or confirmations between the parties with respect to the Transaction described herein.</w:t>
      </w:r>
    </w:p>
    <w:p w14:paraId="58B1467A" w14:textId="478171FC" w:rsidR="00C22FF6" w:rsidRPr="005822CE" w:rsidRDefault="00C22FF6"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sidRPr="005822CE">
        <w:rPr>
          <w:rFonts w:ascii="Times New Roman" w:hAnsi="Times New Roman" w:cs="Times New Roman"/>
          <w:color w:val="000000"/>
          <w:sz w:val="20"/>
          <w:szCs w:val="20"/>
        </w:rPr>
        <w:t>The definitions and provisions contained in the 2021 ISDA Interest Rate Derivatives Definitions</w:t>
      </w:r>
      <w:r>
        <w:rPr>
          <w:rFonts w:ascii="Times New Roman" w:hAnsi="Times New Roman" w:cs="Times New Roman"/>
          <w:color w:val="000000"/>
          <w:sz w:val="20"/>
          <w:szCs w:val="20"/>
        </w:rPr>
        <w:t xml:space="preserve"> </w:t>
      </w:r>
      <w:r w:rsidRPr="00F34A29">
        <w:rPr>
          <w:rFonts w:ascii="Times New Roman" w:hAnsi="Times New Roman" w:cs="Times New Roman"/>
          <w:color w:val="000000"/>
          <w:sz w:val="20"/>
          <w:szCs w:val="20"/>
        </w:rPr>
        <w:t>(the “Definitions”)</w:t>
      </w:r>
      <w:r w:rsidRPr="005822CE">
        <w:rPr>
          <w:rFonts w:ascii="Times New Roman" w:hAnsi="Times New Roman" w:cs="Times New Roman"/>
          <w:color w:val="000000"/>
          <w:sz w:val="20"/>
          <w:szCs w:val="20"/>
        </w:rPr>
        <w:t>, as published by the International Swaps and Derivatives Association, Inc., are incorporated into this Confirmation. In the event of any inconsistency between those definitions and provisions and this Confirmation, this Confirmation will govern.</w:t>
      </w:r>
    </w:p>
    <w:p w14:paraId="23E989DE" w14:textId="77777777" w:rsidR="00C22FF6" w:rsidRDefault="00C22FF6" w:rsidP="00C22FF6">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sidRPr="005822CE">
        <w:rPr>
          <w:rFonts w:ascii="Times New Roman" w:hAnsi="Times New Roman" w:cs="Times New Roman"/>
          <w:color w:val="000000"/>
          <w:sz w:val="20"/>
          <w:szCs w:val="20"/>
        </w:rPr>
        <w:t>This Confirmation constitutes a “Confirmation” as referred to in, and supplements, forms part of and is subject to, the ISDA Master Agreement dated as of [date], as amended and supplemented from time to time (the “Agreement”), between Party A and Party B. All provisions contained in the Agreement govern this Confirmation except as expressly modified below</w:t>
      </w:r>
      <w:r>
        <w:rPr>
          <w:rFonts w:ascii="Times New Roman" w:hAnsi="Times New Roman" w:cs="Times New Roman"/>
          <w:color w:val="000000"/>
          <w:sz w:val="20"/>
          <w:szCs w:val="20"/>
        </w:rPr>
        <w:t>.</w:t>
      </w:r>
    </w:p>
    <w:p w14:paraId="515AD16E" w14:textId="77777777" w:rsidR="00C22FF6" w:rsidRPr="00F34A29" w:rsidRDefault="00C22FF6" w:rsidP="00C22FF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proofErr w:type="gramStart"/>
      <w:r w:rsidRPr="00F34A29">
        <w:rPr>
          <w:rFonts w:ascii="Times New Roman" w:hAnsi="Times New Roman" w:cs="Times New Roman"/>
          <w:color w:val="000000"/>
          <w:sz w:val="20"/>
          <w:szCs w:val="20"/>
        </w:rPr>
        <w:t>For the purpose of</w:t>
      </w:r>
      <w:proofErr w:type="gramEnd"/>
      <w:r w:rsidRPr="00F34A29">
        <w:rPr>
          <w:rFonts w:ascii="Times New Roman" w:hAnsi="Times New Roman" w:cs="Times New Roman"/>
          <w:color w:val="000000"/>
          <w:sz w:val="20"/>
          <w:szCs w:val="20"/>
        </w:rPr>
        <w:t xml:space="preserve"> this Confirmation, all references in the Definitions or the Agreement to a “Swap Transaction” shall be deemed to be </w:t>
      </w:r>
      <w:r>
        <w:rPr>
          <w:rFonts w:ascii="Times New Roman" w:hAnsi="Times New Roman" w:cs="Times New Roman"/>
          <w:color w:val="000000"/>
          <w:sz w:val="20"/>
          <w:szCs w:val="20"/>
        </w:rPr>
        <w:t>references to this Transaction.</w:t>
      </w:r>
    </w:p>
    <w:p w14:paraId="24214340" w14:textId="77777777" w:rsidR="00C22FF6" w:rsidRPr="00F34A29" w:rsidRDefault="00C22FF6" w:rsidP="00C22FF6">
      <w:pPr>
        <w:ind w:left="360" w:hanging="360"/>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The terms of the </w:t>
      </w:r>
      <w:proofErr w:type="gramStart"/>
      <w:r w:rsidRPr="00F34A29">
        <w:rPr>
          <w:rFonts w:ascii="Times New Roman" w:hAnsi="Times New Roman" w:cs="Times New Roman"/>
          <w:color w:val="000000"/>
          <w:sz w:val="20"/>
          <w:szCs w:val="20"/>
        </w:rPr>
        <w:t>particular Transaction</w:t>
      </w:r>
      <w:proofErr w:type="gramEnd"/>
      <w:r w:rsidRPr="00F34A29">
        <w:rPr>
          <w:rFonts w:ascii="Times New Roman" w:hAnsi="Times New Roman" w:cs="Times New Roman"/>
          <w:color w:val="000000"/>
          <w:sz w:val="20"/>
          <w:szCs w:val="20"/>
        </w:rPr>
        <w:t xml:space="preserve"> to which this Confi</w:t>
      </w:r>
      <w:r>
        <w:rPr>
          <w:rFonts w:ascii="Times New Roman" w:hAnsi="Times New Roman" w:cs="Times New Roman"/>
          <w:color w:val="000000"/>
          <w:sz w:val="20"/>
          <w:szCs w:val="20"/>
        </w:rPr>
        <w:t>rmation relates are as follows:</w:t>
      </w:r>
    </w:p>
    <w:p w14:paraId="5502EA3B" w14:textId="045B4919" w:rsidR="00D00847" w:rsidRPr="00C22FF6" w:rsidRDefault="00C22FF6" w:rsidP="00C22FF6">
      <w:pPr>
        <w:pStyle w:val="a5"/>
        <w:numPr>
          <w:ilvl w:val="0"/>
          <w:numId w:val="1"/>
        </w:numPr>
        <w:rPr>
          <w:rFonts w:ascii="Times New Roman" w:hAnsi="Times New Roman" w:cs="Times New Roman"/>
          <w:b/>
          <w:bCs/>
          <w:color w:val="000000"/>
          <w:sz w:val="20"/>
          <w:szCs w:val="20"/>
        </w:rPr>
      </w:pPr>
      <w:r w:rsidRPr="00C22FF6">
        <w:rPr>
          <w:rFonts w:ascii="Times New Roman" w:hAnsi="Times New Roman" w:cs="Times New Roman"/>
          <w:b/>
          <w:bCs/>
          <w:color w:val="000000"/>
          <w:sz w:val="20"/>
          <w:szCs w:val="20"/>
        </w:rPr>
        <w:t>General Terms</w:t>
      </w:r>
    </w:p>
    <w:p w14:paraId="297EF047" w14:textId="77777777" w:rsidR="00C22FF6" w:rsidRPr="00F34A29" w:rsidRDefault="00C22FF6" w:rsidP="00C22FF6">
      <w:pPr>
        <w:pStyle w:val="a5"/>
        <w:ind w:left="720"/>
        <w:rPr>
          <w:rFonts w:ascii="Times New Roman" w:hAnsi="Times New Roman" w:cs="Times New Roman"/>
          <w:color w:val="000000"/>
          <w:sz w:val="20"/>
          <w:szCs w:val="20"/>
        </w:rPr>
      </w:pPr>
    </w:p>
    <w:p w14:paraId="5EF16691" w14:textId="57084A54" w:rsidR="00D00847" w:rsidRPr="00F34A29" w:rsidRDefault="00D00847" w:rsidP="00D00847">
      <w:pPr>
        <w:tabs>
          <w:tab w:val="left" w:pos="4320"/>
        </w:tabs>
        <w:ind w:left="720"/>
        <w:rPr>
          <w:rFonts w:ascii="Times New Roman" w:hAnsi="Times New Roman" w:cs="Times New Roman"/>
          <w:color w:val="000000"/>
          <w:sz w:val="20"/>
          <w:szCs w:val="20"/>
        </w:rPr>
      </w:pPr>
      <w:r w:rsidRPr="00F34A29">
        <w:rPr>
          <w:rFonts w:ascii="Times New Roman" w:hAnsi="Times New Roman" w:cs="Times New Roman"/>
          <w:color w:val="000000"/>
          <w:sz w:val="20"/>
          <w:szCs w:val="20"/>
        </w:rPr>
        <w:t>Notional Amount:</w:t>
      </w:r>
      <w:r w:rsidRPr="00F34A29">
        <w:rPr>
          <w:rFonts w:ascii="Times New Roman" w:hAnsi="Times New Roman" w:cs="Times New Roman"/>
          <w:color w:val="000000"/>
          <w:sz w:val="20"/>
          <w:szCs w:val="20"/>
        </w:rPr>
        <w:tab/>
      </w:r>
      <w:r w:rsidR="00D42EAD">
        <w:rPr>
          <w:rFonts w:ascii="Times New Roman" w:hAnsi="Times New Roman" w:cs="Times New Roman"/>
          <w:color w:val="000000"/>
          <w:sz w:val="20"/>
          <w:szCs w:val="20"/>
        </w:rPr>
        <w:t>KZT</w:t>
      </w:r>
      <w:r w:rsidRPr="00F34A29">
        <w:rPr>
          <w:rFonts w:ascii="Times New Roman" w:hAnsi="Times New Roman" w:cs="Times New Roman"/>
          <w:color w:val="000000"/>
          <w:sz w:val="20"/>
          <w:szCs w:val="20"/>
        </w:rPr>
        <w:t xml:space="preserve"> </w:t>
      </w:r>
      <w:proofErr w:type="gramStart"/>
      <w:r w:rsidR="006C20EF">
        <w:rPr>
          <w:rFonts w:ascii="Times New Roman" w:hAnsi="Times New Roman" w:cs="Times New Roman"/>
          <w:color w:val="000000"/>
          <w:sz w:val="20"/>
          <w:szCs w:val="20"/>
        </w:rPr>
        <w:t>[ ]</w:t>
      </w:r>
      <w:proofErr w:type="gramEnd"/>
    </w:p>
    <w:p w14:paraId="6DF8BFF6" w14:textId="74186A2E" w:rsidR="00D00847" w:rsidRPr="00F34A29" w:rsidRDefault="009E4ED0" w:rsidP="00D00847">
      <w:pPr>
        <w:tabs>
          <w:tab w:val="left" w:pos="4320"/>
        </w:tabs>
        <w:ind w:left="720"/>
        <w:rPr>
          <w:rFonts w:ascii="Times New Roman" w:hAnsi="Times New Roman" w:cs="Times New Roman"/>
          <w:color w:val="000000"/>
          <w:sz w:val="20"/>
          <w:szCs w:val="20"/>
        </w:rPr>
      </w:pPr>
      <w:r>
        <w:rPr>
          <w:rFonts w:ascii="Times New Roman" w:hAnsi="Times New Roman" w:cs="Times New Roman"/>
          <w:color w:val="000000"/>
          <w:sz w:val="20"/>
          <w:szCs w:val="20"/>
        </w:rPr>
        <w:t>Trade Date:</w:t>
      </w:r>
      <w:r>
        <w:rPr>
          <w:rFonts w:ascii="Times New Roman" w:hAnsi="Times New Roman" w:cs="Times New Roman"/>
          <w:color w:val="000000"/>
          <w:sz w:val="20"/>
          <w:szCs w:val="20"/>
        </w:rPr>
        <w:tab/>
      </w:r>
      <w:r w:rsidR="00D42EAD">
        <w:rPr>
          <w:rFonts w:ascii="Times New Roman" w:hAnsi="Times New Roman" w:cs="Times New Roman"/>
          <w:color w:val="000000"/>
          <w:sz w:val="20"/>
          <w:szCs w:val="20"/>
        </w:rPr>
        <w:t xml:space="preserve">[ </w:t>
      </w:r>
      <w:proofErr w:type="gramStart"/>
      <w:r w:rsidR="00D42EAD">
        <w:rPr>
          <w:rFonts w:ascii="Times New Roman" w:hAnsi="Times New Roman" w:cs="Times New Roman"/>
          <w:color w:val="000000"/>
          <w:sz w:val="20"/>
          <w:szCs w:val="20"/>
        </w:rPr>
        <w:t xml:space="preserve">  ]</w:t>
      </w:r>
      <w:proofErr w:type="gramEnd"/>
      <w:r w:rsidR="00385AAB">
        <w:rPr>
          <w:rFonts w:ascii="Times New Roman" w:hAnsi="Times New Roman" w:cs="Times New Roman"/>
          <w:color w:val="000000"/>
          <w:sz w:val="20"/>
          <w:szCs w:val="20"/>
        </w:rPr>
        <w:t xml:space="preserve"> </w:t>
      </w:r>
    </w:p>
    <w:p w14:paraId="7AE920CC" w14:textId="4C863ADE" w:rsidR="00D00847" w:rsidRPr="00F34A29" w:rsidRDefault="00D00847" w:rsidP="00385AAB">
      <w:pPr>
        <w:tabs>
          <w:tab w:val="left" w:pos="4320"/>
        </w:tabs>
        <w:ind w:left="720"/>
        <w:rPr>
          <w:rFonts w:ascii="Times New Roman" w:hAnsi="Times New Roman" w:cs="Times New Roman"/>
          <w:color w:val="000000"/>
          <w:sz w:val="20"/>
          <w:szCs w:val="20"/>
        </w:rPr>
      </w:pPr>
      <w:r w:rsidRPr="00F34A29">
        <w:rPr>
          <w:rFonts w:ascii="Times New Roman" w:hAnsi="Times New Roman" w:cs="Times New Roman"/>
          <w:color w:val="000000"/>
          <w:sz w:val="20"/>
          <w:szCs w:val="20"/>
        </w:rPr>
        <w:t>Effective Date:</w:t>
      </w:r>
      <w:r w:rsidRPr="00F34A29">
        <w:rPr>
          <w:rFonts w:ascii="Times New Roman" w:hAnsi="Times New Roman" w:cs="Times New Roman"/>
          <w:color w:val="000000"/>
          <w:sz w:val="20"/>
          <w:szCs w:val="20"/>
        </w:rPr>
        <w:tab/>
      </w:r>
      <w:r w:rsidR="00D42EAD">
        <w:rPr>
          <w:rFonts w:ascii="Times New Roman" w:hAnsi="Times New Roman" w:cs="Times New Roman"/>
          <w:color w:val="000000"/>
          <w:sz w:val="20"/>
          <w:szCs w:val="20"/>
        </w:rPr>
        <w:t xml:space="preserve">[ </w:t>
      </w:r>
      <w:proofErr w:type="gramStart"/>
      <w:r w:rsidR="00D42EAD">
        <w:rPr>
          <w:rFonts w:ascii="Times New Roman" w:hAnsi="Times New Roman" w:cs="Times New Roman"/>
          <w:color w:val="000000"/>
          <w:sz w:val="20"/>
          <w:szCs w:val="20"/>
        </w:rPr>
        <w:t xml:space="preserve">  ]</w:t>
      </w:r>
      <w:proofErr w:type="gramEnd"/>
    </w:p>
    <w:p w14:paraId="5C9C299E" w14:textId="23EA2ABC" w:rsidR="00D03038" w:rsidRDefault="009E4ED0" w:rsidP="009E4ED0">
      <w:pPr>
        <w:tabs>
          <w:tab w:val="left" w:pos="4320"/>
        </w:tabs>
        <w:ind w:left="4320" w:hanging="3600"/>
        <w:rPr>
          <w:rFonts w:ascii="Times New Roman" w:hAnsi="Times New Roman" w:cs="Times New Roman"/>
          <w:color w:val="000000"/>
          <w:sz w:val="20"/>
          <w:szCs w:val="20"/>
        </w:rPr>
      </w:pPr>
      <w:r>
        <w:rPr>
          <w:rFonts w:ascii="Times New Roman" w:hAnsi="Times New Roman" w:cs="Times New Roman"/>
          <w:color w:val="000000"/>
          <w:sz w:val="20"/>
          <w:szCs w:val="20"/>
        </w:rPr>
        <w:t>Termination Date:</w:t>
      </w:r>
      <w:r>
        <w:rPr>
          <w:rFonts w:ascii="Times New Roman" w:hAnsi="Times New Roman" w:cs="Times New Roman"/>
          <w:color w:val="000000"/>
          <w:sz w:val="20"/>
          <w:szCs w:val="20"/>
        </w:rPr>
        <w:tab/>
      </w:r>
      <w:r w:rsidR="00D42EAD">
        <w:rPr>
          <w:rFonts w:ascii="Times New Roman" w:hAnsi="Times New Roman" w:cs="Times New Roman"/>
          <w:color w:val="000000"/>
          <w:sz w:val="20"/>
          <w:szCs w:val="20"/>
        </w:rPr>
        <w:t xml:space="preserve">[ </w:t>
      </w:r>
      <w:proofErr w:type="gramStart"/>
      <w:r w:rsidR="00D42EAD">
        <w:rPr>
          <w:rFonts w:ascii="Times New Roman" w:hAnsi="Times New Roman" w:cs="Times New Roman"/>
          <w:color w:val="000000"/>
          <w:sz w:val="20"/>
          <w:szCs w:val="20"/>
        </w:rPr>
        <w:t xml:space="preserve">  ]</w:t>
      </w:r>
      <w:proofErr w:type="gramEnd"/>
      <w:r w:rsidR="00D00847" w:rsidRPr="00F34A29">
        <w:rPr>
          <w:rFonts w:ascii="Times New Roman" w:hAnsi="Times New Roman" w:cs="Times New Roman"/>
          <w:color w:val="000000"/>
          <w:sz w:val="20"/>
          <w:szCs w:val="20"/>
        </w:rPr>
        <w:t xml:space="preserve"> </w:t>
      </w:r>
      <w:r w:rsidR="00AC7F43" w:rsidRPr="00AC7F43">
        <w:rPr>
          <w:rFonts w:ascii="Times New Roman" w:hAnsi="Times New Roman" w:cs="Times New Roman"/>
          <w:color w:val="000000"/>
          <w:sz w:val="20"/>
          <w:szCs w:val="20"/>
        </w:rPr>
        <w:t>[, subject to adjustment in accordance with the [Following/Modified Following/Preceding] Business Day Convention]</w:t>
      </w:r>
      <w:r w:rsidR="00AC7F43">
        <w:rPr>
          <w:rStyle w:val="af1"/>
          <w:rFonts w:ascii="Times New Roman" w:hAnsi="Times New Roman" w:cs="Times New Roman"/>
          <w:color w:val="000000"/>
          <w:sz w:val="20"/>
          <w:szCs w:val="20"/>
        </w:rPr>
        <w:footnoteReference w:id="2"/>
      </w:r>
    </w:p>
    <w:p w14:paraId="4F6AEA53" w14:textId="3A3BD1BE" w:rsidR="00AC7F43" w:rsidRPr="00AC7F43" w:rsidRDefault="00AC7F43" w:rsidP="00AC7F43">
      <w:pPr>
        <w:autoSpaceDE w:val="0"/>
        <w:autoSpaceDN w:val="0"/>
        <w:adjustRightInd w:val="0"/>
        <w:spacing w:after="0" w:line="240" w:lineRule="auto"/>
        <w:ind w:firstLine="720"/>
        <w:rPr>
          <w:rFonts w:ascii="Times New Roman" w:hAnsi="Times New Roman" w:cs="Times New Roman"/>
          <w:color w:val="000000"/>
          <w:sz w:val="20"/>
          <w:szCs w:val="20"/>
        </w:rPr>
      </w:pPr>
      <w:r w:rsidRPr="00AC7F43">
        <w:rPr>
          <w:rFonts w:ascii="Times New Roman" w:hAnsi="Times New Roman" w:cs="Times New Roman"/>
          <w:color w:val="000000"/>
          <w:sz w:val="20"/>
          <w:szCs w:val="20"/>
        </w:rPr>
        <w:t xml:space="preserve">Calculation Agent: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gramStart"/>
      <w:r>
        <w:rPr>
          <w:rFonts w:ascii="Times New Roman" w:hAnsi="Times New Roman" w:cs="Times New Roman"/>
          <w:color w:val="000000"/>
          <w:sz w:val="20"/>
          <w:szCs w:val="20"/>
        </w:rPr>
        <w:t>[  ]</w:t>
      </w:r>
      <w:proofErr w:type="gramEnd"/>
    </w:p>
    <w:p w14:paraId="582046A7" w14:textId="77777777" w:rsidR="00AC7F43" w:rsidRPr="009E4ED0" w:rsidRDefault="00AC7F43" w:rsidP="009E4ED0">
      <w:pPr>
        <w:tabs>
          <w:tab w:val="left" w:pos="4320"/>
        </w:tabs>
        <w:ind w:left="4320" w:hanging="3600"/>
        <w:rPr>
          <w:rFonts w:ascii="Times New Roman" w:hAnsi="Times New Roman" w:cs="Times New Roman"/>
          <w:color w:val="000000"/>
          <w:sz w:val="20"/>
          <w:szCs w:val="20"/>
        </w:rPr>
      </w:pPr>
    </w:p>
    <w:p w14:paraId="6DF587CF" w14:textId="07371F38" w:rsidR="00D00847" w:rsidRPr="00AC7F43" w:rsidRDefault="00D00847" w:rsidP="00AC7F43">
      <w:pPr>
        <w:pStyle w:val="aa"/>
        <w:numPr>
          <w:ilvl w:val="0"/>
          <w:numId w:val="1"/>
        </w:numPr>
        <w:tabs>
          <w:tab w:val="left" w:pos="4320"/>
        </w:tabs>
        <w:rPr>
          <w:rFonts w:ascii="Times New Roman" w:hAnsi="Times New Roman" w:cs="Times New Roman"/>
          <w:color w:val="000000"/>
          <w:sz w:val="20"/>
          <w:szCs w:val="20"/>
        </w:rPr>
      </w:pPr>
      <w:r w:rsidRPr="00AC7F43">
        <w:rPr>
          <w:rFonts w:ascii="Times New Roman" w:hAnsi="Times New Roman" w:cs="Times New Roman"/>
          <w:b/>
          <w:color w:val="000000"/>
          <w:sz w:val="20"/>
          <w:szCs w:val="20"/>
        </w:rPr>
        <w:lastRenderedPageBreak/>
        <w:t>Fixed Amounts:</w:t>
      </w:r>
    </w:p>
    <w:p w14:paraId="5992E363" w14:textId="5FE752D8" w:rsidR="006979A8" w:rsidRDefault="000B78D7" w:rsidP="006979A8">
      <w:pPr>
        <w:tabs>
          <w:tab w:val="left" w:pos="4320"/>
        </w:tabs>
        <w:ind w:left="720"/>
        <w:jc w:val="both"/>
        <w:rPr>
          <w:rFonts w:ascii="Times New Roman" w:hAnsi="Times New Roman" w:cs="Times New Roman"/>
          <w:color w:val="000000"/>
          <w:sz w:val="20"/>
          <w:szCs w:val="20"/>
        </w:rPr>
      </w:pPr>
      <w:bookmarkStart w:id="0" w:name="_Hlk188019810"/>
      <w:r>
        <w:rPr>
          <w:rFonts w:ascii="Times New Roman" w:hAnsi="Times New Roman" w:cs="Times New Roman"/>
          <w:color w:val="000000"/>
          <w:sz w:val="20"/>
          <w:szCs w:val="20"/>
        </w:rPr>
        <w:t xml:space="preserve">Fixed </w:t>
      </w:r>
      <w:r w:rsidR="006979A8">
        <w:rPr>
          <w:rFonts w:ascii="Times New Roman" w:hAnsi="Times New Roman" w:cs="Times New Roman"/>
          <w:color w:val="000000"/>
          <w:sz w:val="20"/>
          <w:szCs w:val="20"/>
        </w:rPr>
        <w:t>Rate</w:t>
      </w:r>
      <w:r>
        <w:rPr>
          <w:rFonts w:ascii="Times New Roman" w:hAnsi="Times New Roman" w:cs="Times New Roman"/>
          <w:color w:val="000000"/>
          <w:sz w:val="20"/>
          <w:szCs w:val="20"/>
        </w:rPr>
        <w:t xml:space="preserve"> Payer:</w:t>
      </w:r>
      <w:r>
        <w:rPr>
          <w:rFonts w:ascii="Times New Roman" w:hAnsi="Times New Roman" w:cs="Times New Roman"/>
          <w:color w:val="000000"/>
          <w:sz w:val="20"/>
          <w:szCs w:val="20"/>
        </w:rPr>
        <w:tab/>
      </w:r>
      <w:r w:rsidR="00AC7F43" w:rsidRPr="00AC7F43">
        <w:rPr>
          <w:rFonts w:ascii="Times New Roman" w:hAnsi="Times New Roman" w:cs="Times New Roman"/>
          <w:color w:val="000000"/>
          <w:sz w:val="20"/>
          <w:szCs w:val="20"/>
        </w:rPr>
        <w:t>[Party A/B]</w:t>
      </w:r>
    </w:p>
    <w:p w14:paraId="08880B3B" w14:textId="68171BD0" w:rsidR="00D00847" w:rsidRPr="00F34A29" w:rsidRDefault="00D00847" w:rsidP="00D00847">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Fixed </w:t>
      </w:r>
      <w:r w:rsidR="006979A8">
        <w:rPr>
          <w:rFonts w:ascii="Times New Roman" w:hAnsi="Times New Roman" w:cs="Times New Roman"/>
          <w:color w:val="000000"/>
          <w:sz w:val="20"/>
          <w:szCs w:val="20"/>
        </w:rPr>
        <w:t>Rate</w:t>
      </w:r>
      <w:r w:rsidRPr="00F34A29">
        <w:rPr>
          <w:rFonts w:ascii="Times New Roman" w:hAnsi="Times New Roman" w:cs="Times New Roman"/>
          <w:color w:val="000000"/>
          <w:sz w:val="20"/>
          <w:szCs w:val="20"/>
        </w:rPr>
        <w:t xml:space="preserve"> Payer</w:t>
      </w:r>
    </w:p>
    <w:p w14:paraId="7B632D57" w14:textId="5130B5D8" w:rsidR="00D00847" w:rsidRDefault="009E4ED0" w:rsidP="00BF3EBD">
      <w:pPr>
        <w:spacing w:after="0"/>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Period End Dates:</w:t>
      </w:r>
      <w:r>
        <w:rPr>
          <w:rFonts w:ascii="Times New Roman" w:hAnsi="Times New Roman" w:cs="Times New Roman"/>
          <w:color w:val="000000"/>
          <w:sz w:val="20"/>
          <w:szCs w:val="20"/>
        </w:rPr>
        <w:tab/>
      </w:r>
      <w:bookmarkStart w:id="1" w:name="_Hlk146269001"/>
      <w:bookmarkStart w:id="2" w:name="_Hlk188019833"/>
      <w:r w:rsidR="006979A8">
        <w:rPr>
          <w:rFonts w:ascii="Times New Roman" w:hAnsi="Times New Roman" w:cs="Times New Roman"/>
          <w:color w:val="000000"/>
          <w:sz w:val="20"/>
          <w:szCs w:val="20"/>
        </w:rPr>
        <w:t>[</w:t>
      </w:r>
      <w:r w:rsidR="00D42EAD" w:rsidRPr="00D42EAD">
        <w:rPr>
          <w:rFonts w:ascii="Times New Roman" w:hAnsi="Times New Roman" w:cs="Times New Roman"/>
          <w:color w:val="000000"/>
          <w:sz w:val="20"/>
          <w:szCs w:val="20"/>
        </w:rPr>
        <w:t>Each of [•], [•], [•] and [•] in each year, commencing on and including [•]</w:t>
      </w:r>
      <w:r w:rsidR="00B43B71">
        <w:rPr>
          <w:rFonts w:ascii="Times New Roman" w:hAnsi="Times New Roman" w:cs="Times New Roman"/>
          <w:color w:val="000000"/>
          <w:sz w:val="20"/>
          <w:szCs w:val="20"/>
        </w:rPr>
        <w:t>,</w:t>
      </w:r>
      <w:r w:rsidR="00AE4EBA">
        <w:rPr>
          <w:rFonts w:ascii="Times New Roman" w:hAnsi="Times New Roman" w:cs="Times New Roman"/>
          <w:color w:val="000000"/>
          <w:sz w:val="20"/>
          <w:szCs w:val="20"/>
        </w:rPr>
        <w:t xml:space="preserve"> </w:t>
      </w:r>
      <w:r w:rsidR="00B43B71">
        <w:rPr>
          <w:rFonts w:ascii="Times New Roman" w:hAnsi="Times New Roman" w:cs="Times New Roman"/>
          <w:color w:val="000000"/>
          <w:sz w:val="20"/>
          <w:szCs w:val="20"/>
        </w:rPr>
        <w:t xml:space="preserve">up to </w:t>
      </w:r>
      <w:bookmarkEnd w:id="1"/>
      <w:r w:rsidR="00D00847" w:rsidRPr="00F34A29">
        <w:rPr>
          <w:rFonts w:ascii="Times New Roman" w:hAnsi="Times New Roman" w:cs="Times New Roman"/>
          <w:color w:val="000000"/>
          <w:sz w:val="20"/>
          <w:szCs w:val="20"/>
        </w:rPr>
        <w:t>and including the Termination Date, subject to adjustment in accordance with the Modified Following Business Day Convention.</w:t>
      </w:r>
      <w:r w:rsidR="006979A8">
        <w:rPr>
          <w:rFonts w:ascii="Times New Roman" w:hAnsi="Times New Roman" w:cs="Times New Roman"/>
          <w:color w:val="000000"/>
          <w:sz w:val="20"/>
          <w:szCs w:val="20"/>
        </w:rPr>
        <w:t>]</w:t>
      </w:r>
      <w:bookmarkEnd w:id="2"/>
    </w:p>
    <w:p w14:paraId="26CF61FC" w14:textId="44B422EF" w:rsidR="00D00847" w:rsidRPr="00F34A29" w:rsidRDefault="00D00847" w:rsidP="00D00847">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Fixed </w:t>
      </w:r>
      <w:r w:rsidR="006979A8">
        <w:rPr>
          <w:rFonts w:ascii="Times New Roman" w:hAnsi="Times New Roman" w:cs="Times New Roman"/>
          <w:color w:val="000000"/>
          <w:sz w:val="20"/>
          <w:szCs w:val="20"/>
        </w:rPr>
        <w:t>Rate</w:t>
      </w:r>
      <w:r w:rsidRPr="00F34A29">
        <w:rPr>
          <w:rFonts w:ascii="Times New Roman" w:hAnsi="Times New Roman" w:cs="Times New Roman"/>
          <w:color w:val="000000"/>
          <w:sz w:val="20"/>
          <w:szCs w:val="20"/>
        </w:rPr>
        <w:t xml:space="preserve"> Payer</w:t>
      </w:r>
    </w:p>
    <w:p w14:paraId="7CEED24A" w14:textId="16DA28CD" w:rsidR="00D00847" w:rsidRPr="00F34A29" w:rsidRDefault="00D00847" w:rsidP="00D00847">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P</w:t>
      </w:r>
      <w:r>
        <w:rPr>
          <w:rFonts w:ascii="Times New Roman" w:hAnsi="Times New Roman" w:cs="Times New Roman"/>
          <w:color w:val="000000"/>
          <w:sz w:val="20"/>
          <w:szCs w:val="20"/>
        </w:rPr>
        <w:t>ayment Dates:</w:t>
      </w:r>
      <w:r>
        <w:rPr>
          <w:rFonts w:ascii="Times New Roman" w:hAnsi="Times New Roman" w:cs="Times New Roman"/>
          <w:color w:val="000000"/>
          <w:sz w:val="20"/>
          <w:szCs w:val="20"/>
        </w:rPr>
        <w:tab/>
      </w:r>
      <w:r w:rsidR="006979A8">
        <w:rPr>
          <w:rFonts w:ascii="Times New Roman" w:hAnsi="Times New Roman" w:cs="Times New Roman"/>
          <w:color w:val="000000"/>
          <w:sz w:val="20"/>
          <w:szCs w:val="20"/>
        </w:rPr>
        <w:t>[</w:t>
      </w:r>
      <w:r w:rsidRPr="00F34A29">
        <w:rPr>
          <w:rFonts w:ascii="Times New Roman" w:hAnsi="Times New Roman" w:cs="Times New Roman"/>
          <w:color w:val="000000"/>
          <w:sz w:val="20"/>
          <w:szCs w:val="20"/>
        </w:rPr>
        <w:t>Each day falling one Business Day after each Fixed Rate Payer Period End Date.</w:t>
      </w:r>
      <w:r w:rsidR="006979A8">
        <w:rPr>
          <w:rFonts w:ascii="Times New Roman" w:hAnsi="Times New Roman" w:cs="Times New Roman"/>
          <w:color w:val="000000"/>
          <w:sz w:val="20"/>
          <w:szCs w:val="20"/>
        </w:rPr>
        <w:t>]</w:t>
      </w:r>
    </w:p>
    <w:p w14:paraId="1DC16F91" w14:textId="77777777" w:rsidR="00D00847" w:rsidRPr="00F34A29" w:rsidRDefault="00D00847" w:rsidP="00BF3EBD">
      <w:pPr>
        <w:pStyle w:val="a7"/>
        <w:ind w:left="0" w:firstLine="0"/>
        <w:jc w:val="both"/>
        <w:rPr>
          <w:color w:val="000000"/>
          <w:sz w:val="20"/>
        </w:rPr>
      </w:pPr>
    </w:p>
    <w:p w14:paraId="0FC74653" w14:textId="089BE84F" w:rsidR="00D00847" w:rsidRPr="00F34A29" w:rsidRDefault="000B78D7" w:rsidP="00BF3EBD">
      <w:pPr>
        <w:tabs>
          <w:tab w:val="left" w:pos="4320"/>
        </w:tabs>
        <w:ind w:left="720"/>
        <w:jc w:val="both"/>
        <w:rPr>
          <w:rFonts w:ascii="Times New Roman" w:hAnsi="Times New Roman" w:cs="Times New Roman"/>
          <w:color w:val="000000"/>
          <w:sz w:val="20"/>
          <w:szCs w:val="20"/>
        </w:rPr>
      </w:pPr>
      <w:r>
        <w:rPr>
          <w:rFonts w:ascii="Times New Roman" w:hAnsi="Times New Roman" w:cs="Times New Roman"/>
          <w:color w:val="000000"/>
          <w:sz w:val="20"/>
          <w:szCs w:val="20"/>
        </w:rPr>
        <w:t>Fixed R</w:t>
      </w:r>
      <w:r w:rsidR="002B21CE">
        <w:rPr>
          <w:rFonts w:ascii="Times New Roman" w:hAnsi="Times New Roman" w:cs="Times New Roman"/>
          <w:color w:val="000000"/>
          <w:sz w:val="20"/>
          <w:szCs w:val="20"/>
        </w:rPr>
        <w:t>ate:</w:t>
      </w:r>
      <w:r w:rsidR="002B21CE">
        <w:rPr>
          <w:rFonts w:ascii="Times New Roman" w:hAnsi="Times New Roman" w:cs="Times New Roman"/>
          <w:color w:val="000000"/>
          <w:sz w:val="20"/>
          <w:szCs w:val="20"/>
        </w:rPr>
        <w:tab/>
      </w:r>
      <w:r w:rsidR="00D42EAD">
        <w:rPr>
          <w:rFonts w:ascii="Times New Roman" w:hAnsi="Times New Roman" w:cs="Times New Roman"/>
          <w:color w:val="000000"/>
          <w:sz w:val="20"/>
          <w:szCs w:val="20"/>
        </w:rPr>
        <w:t xml:space="preserve">[ </w:t>
      </w:r>
      <w:proofErr w:type="gramStart"/>
      <w:r w:rsidR="00D42EAD">
        <w:rPr>
          <w:rFonts w:ascii="Times New Roman" w:hAnsi="Times New Roman" w:cs="Times New Roman"/>
          <w:color w:val="000000"/>
          <w:sz w:val="20"/>
          <w:szCs w:val="20"/>
        </w:rPr>
        <w:t xml:space="preserve">  ]</w:t>
      </w:r>
      <w:proofErr w:type="gramEnd"/>
      <w:r w:rsidR="00D42EAD">
        <w:rPr>
          <w:rFonts w:ascii="Times New Roman" w:hAnsi="Times New Roman" w:cs="Times New Roman"/>
          <w:color w:val="000000"/>
          <w:sz w:val="20"/>
          <w:szCs w:val="20"/>
        </w:rPr>
        <w:t xml:space="preserve"> </w:t>
      </w:r>
      <w:r w:rsidR="009E4ED0">
        <w:rPr>
          <w:rFonts w:ascii="Times New Roman" w:hAnsi="Times New Roman" w:cs="Times New Roman"/>
          <w:color w:val="000000"/>
          <w:sz w:val="20"/>
          <w:szCs w:val="20"/>
        </w:rPr>
        <w:t>%</w:t>
      </w:r>
    </w:p>
    <w:p w14:paraId="6AE1A70E" w14:textId="77777777" w:rsidR="00D00847" w:rsidRPr="00F34A29" w:rsidRDefault="00D00847" w:rsidP="00D00847">
      <w:pPr>
        <w:tabs>
          <w:tab w:val="left" w:pos="4320"/>
        </w:tabs>
        <w:spacing w:after="0"/>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Fixed Rate Day</w:t>
      </w:r>
    </w:p>
    <w:p w14:paraId="6DD2BA2C" w14:textId="4A5BF153" w:rsidR="00D00847" w:rsidRPr="00F34A29" w:rsidRDefault="00D00847" w:rsidP="00D00847">
      <w:pPr>
        <w:tabs>
          <w:tab w:val="left" w:pos="4320"/>
        </w:tabs>
        <w:spacing w:after="0"/>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Count Fraction:</w:t>
      </w:r>
      <w:r w:rsidRPr="00F34A29">
        <w:rPr>
          <w:rFonts w:ascii="Times New Roman" w:hAnsi="Times New Roman" w:cs="Times New Roman"/>
          <w:color w:val="000000"/>
          <w:sz w:val="20"/>
          <w:szCs w:val="20"/>
        </w:rPr>
        <w:tab/>
        <w:t xml:space="preserve">Act/365 </w:t>
      </w:r>
    </w:p>
    <w:bookmarkEnd w:id="0"/>
    <w:p w14:paraId="483D0E03" w14:textId="77777777" w:rsidR="00D00847" w:rsidRPr="00F34A29" w:rsidRDefault="00D00847" w:rsidP="00D00847">
      <w:pPr>
        <w:tabs>
          <w:tab w:val="left" w:pos="4320"/>
        </w:tabs>
        <w:ind w:left="720"/>
        <w:jc w:val="both"/>
        <w:rPr>
          <w:rFonts w:ascii="Times New Roman" w:hAnsi="Times New Roman" w:cs="Times New Roman"/>
          <w:color w:val="000000"/>
          <w:sz w:val="20"/>
          <w:szCs w:val="20"/>
        </w:rPr>
      </w:pPr>
    </w:p>
    <w:p w14:paraId="694F75CF" w14:textId="2045FB5A" w:rsidR="00D00847" w:rsidRPr="00F34A29" w:rsidRDefault="00D00847" w:rsidP="00D00847">
      <w:pPr>
        <w:tabs>
          <w:tab w:val="left" w:pos="4320"/>
        </w:tabs>
        <w:ind w:left="720"/>
        <w:jc w:val="both"/>
        <w:rPr>
          <w:rFonts w:ascii="Times New Roman" w:hAnsi="Times New Roman" w:cs="Times New Roman"/>
          <w:color w:val="000000"/>
          <w:sz w:val="20"/>
          <w:szCs w:val="20"/>
        </w:rPr>
      </w:pPr>
      <w:r w:rsidRPr="00F34A29">
        <w:rPr>
          <w:rFonts w:ascii="Times New Roman" w:hAnsi="Times New Roman" w:cs="Times New Roman"/>
          <w:sz w:val="20"/>
          <w:szCs w:val="20"/>
        </w:rPr>
        <w:t>Business Days for Fixed Amounts:</w:t>
      </w:r>
      <w:r w:rsidRPr="00F34A29">
        <w:rPr>
          <w:rFonts w:ascii="Times New Roman" w:hAnsi="Times New Roman" w:cs="Times New Roman"/>
          <w:color w:val="000000"/>
          <w:sz w:val="20"/>
          <w:szCs w:val="20"/>
        </w:rPr>
        <w:tab/>
      </w:r>
      <w:proofErr w:type="gramStart"/>
      <w:r w:rsidR="006979A8">
        <w:rPr>
          <w:rFonts w:ascii="Times New Roman" w:hAnsi="Times New Roman" w:cs="Times New Roman"/>
          <w:color w:val="000000"/>
          <w:sz w:val="20"/>
          <w:szCs w:val="20"/>
        </w:rPr>
        <w:t>[ ]</w:t>
      </w:r>
      <w:proofErr w:type="gramEnd"/>
    </w:p>
    <w:p w14:paraId="2867758B" w14:textId="77777777" w:rsidR="00D00847" w:rsidRDefault="00D00847" w:rsidP="00D00847">
      <w:pPr>
        <w:tabs>
          <w:tab w:val="left" w:pos="4320"/>
        </w:tabs>
        <w:ind w:left="720"/>
        <w:jc w:val="both"/>
        <w:rPr>
          <w:rFonts w:ascii="Times New Roman" w:hAnsi="Times New Roman" w:cs="Times New Roman"/>
          <w:color w:val="000000"/>
          <w:sz w:val="20"/>
          <w:szCs w:val="20"/>
        </w:rPr>
      </w:pPr>
    </w:p>
    <w:p w14:paraId="24152C31" w14:textId="2C6FCB2C" w:rsidR="00D00847" w:rsidRPr="006979A8" w:rsidRDefault="00D00847" w:rsidP="006979A8">
      <w:pPr>
        <w:pStyle w:val="aa"/>
        <w:numPr>
          <w:ilvl w:val="0"/>
          <w:numId w:val="1"/>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r w:rsidRPr="006979A8">
        <w:rPr>
          <w:rFonts w:ascii="Times New Roman" w:hAnsi="Times New Roman" w:cs="Times New Roman"/>
          <w:b/>
          <w:color w:val="000000"/>
          <w:sz w:val="20"/>
          <w:szCs w:val="20"/>
        </w:rPr>
        <w:t>Floating Amounts:</w:t>
      </w:r>
    </w:p>
    <w:p w14:paraId="1EB5789D" w14:textId="57978989" w:rsidR="006979A8" w:rsidRDefault="00D00847" w:rsidP="00BF3EBD">
      <w:pPr>
        <w:tabs>
          <w:tab w:val="left" w:pos="4320"/>
        </w:tabs>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Floa</w:t>
      </w:r>
      <w:r w:rsidR="008148E3">
        <w:rPr>
          <w:rFonts w:ascii="Times New Roman" w:hAnsi="Times New Roman" w:cs="Times New Roman"/>
          <w:color w:val="000000"/>
          <w:sz w:val="20"/>
          <w:szCs w:val="20"/>
        </w:rPr>
        <w:t>ting Rate Payer:</w:t>
      </w:r>
      <w:r w:rsidR="008148E3">
        <w:rPr>
          <w:rFonts w:ascii="Times New Roman" w:hAnsi="Times New Roman" w:cs="Times New Roman"/>
          <w:color w:val="000000"/>
          <w:sz w:val="20"/>
          <w:szCs w:val="20"/>
        </w:rPr>
        <w:tab/>
      </w:r>
      <w:r w:rsidR="00B43B71">
        <w:rPr>
          <w:rFonts w:ascii="Times New Roman" w:hAnsi="Times New Roman" w:cs="Times New Roman"/>
          <w:color w:val="000000"/>
          <w:sz w:val="20"/>
          <w:szCs w:val="20"/>
        </w:rPr>
        <w:t>[</w:t>
      </w:r>
      <w:r w:rsidR="008148E3">
        <w:rPr>
          <w:rFonts w:ascii="Times New Roman" w:hAnsi="Times New Roman" w:cs="Times New Roman"/>
          <w:color w:val="000000"/>
          <w:sz w:val="20"/>
          <w:szCs w:val="20"/>
        </w:rPr>
        <w:t>Party A</w:t>
      </w:r>
      <w:r w:rsidR="00B43B71" w:rsidRPr="00AC7F43">
        <w:rPr>
          <w:rFonts w:ascii="Times New Roman" w:hAnsi="Times New Roman" w:cs="Times New Roman"/>
          <w:color w:val="000000"/>
          <w:sz w:val="20"/>
          <w:szCs w:val="20"/>
        </w:rPr>
        <w:t>/B]</w:t>
      </w:r>
    </w:p>
    <w:p w14:paraId="18EF2FC4" w14:textId="37C86AC9" w:rsidR="00D00847" w:rsidRPr="00F34A29" w:rsidRDefault="00D00847" w:rsidP="00D00847">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Floating Rate Payer</w:t>
      </w:r>
    </w:p>
    <w:p w14:paraId="2B08386A" w14:textId="4413B6B3" w:rsidR="00DB40C2" w:rsidRPr="00F34A29" w:rsidRDefault="00D00847" w:rsidP="00385AAB">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Period End Dates:</w:t>
      </w:r>
      <w:r w:rsidRPr="00F34A29">
        <w:rPr>
          <w:rFonts w:ascii="Times New Roman" w:hAnsi="Times New Roman" w:cs="Times New Roman"/>
          <w:color w:val="000000"/>
          <w:sz w:val="20"/>
          <w:szCs w:val="20"/>
        </w:rPr>
        <w:tab/>
      </w:r>
      <w:r w:rsidR="00AE4EBA" w:rsidRPr="00AE4EBA">
        <w:rPr>
          <w:rFonts w:ascii="Times New Roman" w:hAnsi="Times New Roman" w:cs="Times New Roman"/>
          <w:color w:val="000000"/>
          <w:sz w:val="20"/>
          <w:szCs w:val="20"/>
        </w:rPr>
        <w:t>Each of [•], [•], [•] and [•] in each year, commencing on and including [•]</w:t>
      </w:r>
      <w:r w:rsidR="00B43B71">
        <w:rPr>
          <w:rFonts w:ascii="Times New Roman" w:hAnsi="Times New Roman" w:cs="Times New Roman"/>
          <w:color w:val="000000"/>
          <w:sz w:val="20"/>
          <w:szCs w:val="20"/>
        </w:rPr>
        <w:t>, up to and including</w:t>
      </w:r>
      <w:r w:rsidR="00AE4EBA" w:rsidRPr="00AE4EBA">
        <w:rPr>
          <w:rFonts w:ascii="Times New Roman" w:hAnsi="Times New Roman" w:cs="Times New Roman"/>
          <w:color w:val="000000"/>
          <w:sz w:val="20"/>
          <w:szCs w:val="20"/>
        </w:rPr>
        <w:t xml:space="preserve"> the Termination </w:t>
      </w:r>
      <w:r w:rsidR="00385AAB" w:rsidRPr="00F34A29">
        <w:rPr>
          <w:rFonts w:ascii="Times New Roman" w:hAnsi="Times New Roman" w:cs="Times New Roman"/>
          <w:color w:val="000000"/>
          <w:sz w:val="20"/>
          <w:szCs w:val="20"/>
        </w:rPr>
        <w:t>Date, subject to adjustment in accordance with the Modified Following Business Day Convention.</w:t>
      </w:r>
    </w:p>
    <w:p w14:paraId="56A10128" w14:textId="77777777" w:rsidR="00D00847" w:rsidRDefault="00D00847" w:rsidP="00BF3EBD">
      <w:pPr>
        <w:spacing w:after="0"/>
        <w:jc w:val="both"/>
        <w:rPr>
          <w:rFonts w:ascii="Times New Roman" w:hAnsi="Times New Roman" w:cs="Times New Roman"/>
          <w:color w:val="000000"/>
          <w:sz w:val="20"/>
          <w:szCs w:val="20"/>
        </w:rPr>
      </w:pPr>
    </w:p>
    <w:p w14:paraId="79B63AC3" w14:textId="77777777" w:rsidR="00D00847" w:rsidRPr="00F34A29" w:rsidRDefault="00D00847" w:rsidP="00D00847">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Floating Rate Payer</w:t>
      </w:r>
    </w:p>
    <w:p w14:paraId="5EF945DF" w14:textId="77777777" w:rsidR="00D00847" w:rsidRPr="00F34A29" w:rsidRDefault="00D00847" w:rsidP="00D00847">
      <w:pPr>
        <w:spacing w:after="0"/>
        <w:ind w:left="4320" w:hanging="360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Payment Dates:</w:t>
      </w:r>
      <w:r w:rsidRPr="00F34A29">
        <w:rPr>
          <w:rFonts w:ascii="Times New Roman" w:hAnsi="Times New Roman" w:cs="Times New Roman"/>
          <w:color w:val="000000"/>
          <w:sz w:val="20"/>
          <w:szCs w:val="20"/>
        </w:rPr>
        <w:tab/>
        <w:t>Each day falling one Business Day after each Floating Rate Payer Period End Date.</w:t>
      </w:r>
    </w:p>
    <w:p w14:paraId="40B63FBB" w14:textId="0C800B8F" w:rsidR="00D42EAD" w:rsidRPr="00EF7DEC" w:rsidRDefault="00725FDD" w:rsidP="00EF7DEC">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725FDD">
        <w:rPr>
          <w:rFonts w:ascii="Times New Roman" w:hAnsi="Times New Roman" w:cs="Times New Roman"/>
          <w:color w:val="000000"/>
          <w:sz w:val="20"/>
          <w:szCs w:val="20"/>
        </w:rPr>
        <w:tab/>
      </w:r>
    </w:p>
    <w:p w14:paraId="2AB7CBFE" w14:textId="7466B234" w:rsidR="00D42EAD" w:rsidRPr="00D42EAD" w:rsidRDefault="00D42EAD" w:rsidP="00AE4EBA">
      <w:pPr>
        <w:ind w:left="709" w:firstLine="11"/>
        <w:jc w:val="both"/>
        <w:rPr>
          <w:rFonts w:ascii="Times New Roman" w:hAnsi="Times New Roman" w:cs="Times New Roman"/>
          <w:color w:val="000000"/>
          <w:sz w:val="20"/>
          <w:szCs w:val="20"/>
        </w:rPr>
      </w:pPr>
      <w:r w:rsidRPr="00D42EAD">
        <w:rPr>
          <w:rFonts w:ascii="Times New Roman" w:hAnsi="Times New Roman" w:cs="Times New Roman"/>
          <w:color w:val="000000"/>
          <w:sz w:val="20"/>
          <w:szCs w:val="20"/>
        </w:rPr>
        <w:t>Floating Rate Option:</w:t>
      </w:r>
      <w:r w:rsidRPr="00D42EAD">
        <w:rPr>
          <w:rFonts w:ascii="Times New Roman" w:hAnsi="Times New Roman" w:cs="Times New Roman"/>
          <w:color w:val="000000"/>
          <w:sz w:val="20"/>
          <w:szCs w:val="20"/>
        </w:rPr>
        <w:tab/>
      </w:r>
      <w:r w:rsidR="006979A8">
        <w:rPr>
          <w:rFonts w:ascii="Times New Roman" w:hAnsi="Times New Roman" w:cs="Times New Roman"/>
          <w:color w:val="000000"/>
          <w:sz w:val="20"/>
          <w:szCs w:val="20"/>
        </w:rPr>
        <w:tab/>
      </w:r>
      <w:r w:rsidR="006979A8">
        <w:rPr>
          <w:rFonts w:ascii="Times New Roman" w:hAnsi="Times New Roman" w:cs="Times New Roman"/>
          <w:color w:val="000000"/>
          <w:sz w:val="20"/>
          <w:szCs w:val="20"/>
        </w:rPr>
        <w:tab/>
      </w:r>
      <w:r w:rsidRPr="00D42EAD">
        <w:rPr>
          <w:rFonts w:ascii="Times New Roman" w:hAnsi="Times New Roman" w:cs="Times New Roman"/>
          <w:color w:val="000000"/>
          <w:sz w:val="20"/>
          <w:szCs w:val="20"/>
        </w:rPr>
        <w:t>KZT-TONIA-OIS-COMPOUND (as defined below)</w:t>
      </w:r>
    </w:p>
    <w:p w14:paraId="4D425A00" w14:textId="21599E70" w:rsidR="00D42EAD" w:rsidRPr="00D42EAD" w:rsidRDefault="00D42EAD" w:rsidP="00D42EAD">
      <w:pPr>
        <w:tabs>
          <w:tab w:val="left" w:pos="4320"/>
        </w:tabs>
        <w:ind w:left="4320" w:hanging="3600"/>
        <w:jc w:val="both"/>
        <w:rPr>
          <w:rFonts w:ascii="Times New Roman" w:hAnsi="Times New Roman" w:cs="Times New Roman"/>
          <w:color w:val="000000"/>
          <w:sz w:val="20"/>
          <w:szCs w:val="20"/>
        </w:rPr>
      </w:pPr>
      <w:r w:rsidRPr="00D42EAD">
        <w:rPr>
          <w:rFonts w:ascii="Times New Roman" w:hAnsi="Times New Roman" w:cs="Times New Roman"/>
          <w:color w:val="000000"/>
          <w:sz w:val="20"/>
          <w:szCs w:val="20"/>
        </w:rPr>
        <w:t>Designated Maturity:</w:t>
      </w:r>
      <w:r w:rsidRPr="00D42EAD">
        <w:rPr>
          <w:rFonts w:ascii="Times New Roman" w:hAnsi="Times New Roman" w:cs="Times New Roman"/>
          <w:color w:val="000000"/>
          <w:sz w:val="20"/>
          <w:szCs w:val="20"/>
        </w:rPr>
        <w:tab/>
      </w:r>
      <w:proofErr w:type="gramStart"/>
      <w:r w:rsidR="005B1B83" w:rsidRPr="005B1B83">
        <w:rPr>
          <w:rFonts w:ascii="Times New Roman" w:hAnsi="Times New Roman" w:cs="Times New Roman"/>
          <w:color w:val="000000"/>
          <w:sz w:val="20"/>
          <w:szCs w:val="20"/>
        </w:rPr>
        <w:t>[ ]</w:t>
      </w:r>
      <w:proofErr w:type="gramEnd"/>
      <w:r w:rsidR="005B1B83" w:rsidRPr="005B1B83">
        <w:rPr>
          <w:rFonts w:ascii="Times New Roman" w:hAnsi="Times New Roman" w:cs="Times New Roman"/>
          <w:color w:val="000000"/>
          <w:sz w:val="20"/>
          <w:szCs w:val="20"/>
        </w:rPr>
        <w:t xml:space="preserve"> [Not Applicable]</w:t>
      </w:r>
    </w:p>
    <w:p w14:paraId="5B241645" w14:textId="33D86652" w:rsidR="00854E8D" w:rsidRDefault="00854E8D" w:rsidP="00854E8D">
      <w:pPr>
        <w:tabs>
          <w:tab w:val="left" w:pos="4320"/>
        </w:tabs>
        <w:ind w:left="4320" w:hanging="3600"/>
        <w:jc w:val="both"/>
        <w:rPr>
          <w:rFonts w:ascii="Times New Roman" w:hAnsi="Times New Roman" w:cs="Times New Roman"/>
          <w:color w:val="000000"/>
          <w:sz w:val="20"/>
          <w:szCs w:val="20"/>
        </w:rPr>
      </w:pPr>
      <w:r>
        <w:rPr>
          <w:rFonts w:ascii="Times New Roman" w:hAnsi="Times New Roman" w:cs="Times New Roman"/>
          <w:color w:val="000000"/>
          <w:sz w:val="20"/>
          <w:szCs w:val="20"/>
        </w:rPr>
        <w:t>Spread:</w:t>
      </w:r>
      <w:r>
        <w:rPr>
          <w:rFonts w:ascii="Times New Roman" w:hAnsi="Times New Roman" w:cs="Times New Roman"/>
          <w:color w:val="000000"/>
          <w:sz w:val="20"/>
          <w:szCs w:val="20"/>
        </w:rPr>
        <w:tab/>
      </w:r>
      <w:bookmarkStart w:id="3" w:name="_Hlk188019923"/>
      <w:r>
        <w:rPr>
          <w:rFonts w:ascii="Times New Roman" w:hAnsi="Times New Roman" w:cs="Times New Roman"/>
          <w:color w:val="000000"/>
          <w:sz w:val="20"/>
          <w:szCs w:val="20"/>
        </w:rPr>
        <w:t>None</w:t>
      </w:r>
      <w:bookmarkEnd w:id="3"/>
    </w:p>
    <w:p w14:paraId="0E745E9E" w14:textId="6877E89F" w:rsidR="00D42EAD" w:rsidRPr="00D42EAD" w:rsidRDefault="00D42EAD" w:rsidP="00D42EAD">
      <w:pPr>
        <w:tabs>
          <w:tab w:val="left" w:pos="4320"/>
        </w:tabs>
        <w:ind w:left="4320" w:hanging="3600"/>
        <w:jc w:val="both"/>
        <w:rPr>
          <w:rFonts w:ascii="Times New Roman" w:hAnsi="Times New Roman" w:cs="Times New Roman"/>
          <w:color w:val="000000"/>
          <w:sz w:val="20"/>
          <w:szCs w:val="20"/>
        </w:rPr>
      </w:pPr>
      <w:r w:rsidRPr="00D42EAD">
        <w:rPr>
          <w:rFonts w:ascii="Times New Roman" w:hAnsi="Times New Roman" w:cs="Times New Roman"/>
          <w:color w:val="000000"/>
          <w:sz w:val="20"/>
          <w:szCs w:val="20"/>
        </w:rPr>
        <w:t>Floating Rate Day Count Fraction:</w:t>
      </w:r>
      <w:r w:rsidRPr="00D42EAD">
        <w:rPr>
          <w:rFonts w:ascii="Times New Roman" w:hAnsi="Times New Roman" w:cs="Times New Roman"/>
          <w:color w:val="000000"/>
          <w:sz w:val="20"/>
          <w:szCs w:val="20"/>
        </w:rPr>
        <w:tab/>
      </w:r>
      <w:r w:rsidR="006979A8">
        <w:rPr>
          <w:rFonts w:ascii="Times New Roman" w:hAnsi="Times New Roman" w:cs="Times New Roman"/>
          <w:color w:val="000000"/>
          <w:sz w:val="20"/>
          <w:szCs w:val="20"/>
        </w:rPr>
        <w:t>[</w:t>
      </w:r>
      <w:r w:rsidRPr="00D42EAD">
        <w:rPr>
          <w:rFonts w:ascii="Times New Roman" w:hAnsi="Times New Roman" w:cs="Times New Roman"/>
          <w:color w:val="000000"/>
          <w:sz w:val="20"/>
          <w:szCs w:val="20"/>
        </w:rPr>
        <w:t>Actual/365</w:t>
      </w:r>
      <w:r w:rsidR="006979A8">
        <w:rPr>
          <w:rFonts w:ascii="Times New Roman" w:hAnsi="Times New Roman" w:cs="Times New Roman"/>
          <w:color w:val="000000"/>
          <w:sz w:val="20"/>
          <w:szCs w:val="20"/>
        </w:rPr>
        <w:t>]</w:t>
      </w:r>
    </w:p>
    <w:p w14:paraId="02FCAAAC" w14:textId="775D3EC5" w:rsidR="006B65DE" w:rsidRPr="006979A8" w:rsidRDefault="00D42EAD" w:rsidP="006B65DE">
      <w:pPr>
        <w:tabs>
          <w:tab w:val="left" w:pos="4320"/>
        </w:tabs>
        <w:ind w:left="4320" w:hanging="3600"/>
        <w:jc w:val="both"/>
        <w:rPr>
          <w:rFonts w:ascii="Times New Roman" w:hAnsi="Times New Roman" w:cs="Times New Roman"/>
          <w:color w:val="000000"/>
          <w:sz w:val="20"/>
          <w:szCs w:val="20"/>
        </w:rPr>
      </w:pPr>
      <w:r w:rsidRPr="00D42EAD">
        <w:rPr>
          <w:rFonts w:ascii="Times New Roman" w:hAnsi="Times New Roman" w:cs="Times New Roman"/>
          <w:color w:val="000000"/>
          <w:sz w:val="20"/>
          <w:szCs w:val="20"/>
        </w:rPr>
        <w:t>Floating Rate Reset Dates:</w:t>
      </w:r>
      <w:r w:rsidRPr="00D42EAD">
        <w:rPr>
          <w:rFonts w:ascii="Times New Roman" w:hAnsi="Times New Roman" w:cs="Times New Roman"/>
          <w:color w:val="000000"/>
          <w:sz w:val="20"/>
          <w:szCs w:val="20"/>
        </w:rPr>
        <w:tab/>
      </w:r>
      <w:r w:rsidR="006B65DE">
        <w:rPr>
          <w:rFonts w:ascii="Times New Roman" w:hAnsi="Times New Roman" w:cs="Times New Roman"/>
          <w:color w:val="000000"/>
          <w:sz w:val="20"/>
          <w:szCs w:val="20"/>
        </w:rPr>
        <w:t>The last Business Day in each Calculation Period</w:t>
      </w:r>
    </w:p>
    <w:p w14:paraId="059B18D7" w14:textId="77777777" w:rsidR="00AB1B51" w:rsidRPr="000E5579" w:rsidRDefault="00AB1B51" w:rsidP="00AB1B51">
      <w:pPr>
        <w:ind w:left="720"/>
        <w:jc w:val="both"/>
        <w:rPr>
          <w:rFonts w:ascii="Times New Roman" w:hAnsi="Times New Roman" w:cs="Times New Roman"/>
          <w:color w:val="000000"/>
          <w:sz w:val="20"/>
          <w:szCs w:val="20"/>
        </w:rPr>
      </w:pPr>
      <w:bookmarkStart w:id="4" w:name="_Hlk146876440"/>
      <w:bookmarkStart w:id="5" w:name="_Hlk146876478"/>
      <w:r w:rsidRPr="00D42EAD">
        <w:rPr>
          <w:rFonts w:ascii="Times New Roman" w:hAnsi="Times New Roman" w:cs="Times New Roman"/>
          <w:color w:val="000000"/>
          <w:sz w:val="20"/>
          <w:szCs w:val="20"/>
        </w:rPr>
        <w:t>“</w:t>
      </w:r>
      <w:bookmarkEnd w:id="4"/>
      <w:bookmarkEnd w:id="5"/>
      <w:r w:rsidRPr="00D42EAD">
        <w:rPr>
          <w:rFonts w:ascii="Times New Roman" w:hAnsi="Times New Roman" w:cs="Times New Roman"/>
          <w:color w:val="000000"/>
          <w:sz w:val="20"/>
          <w:szCs w:val="20"/>
        </w:rPr>
        <w:t>“</w:t>
      </w:r>
      <w:r w:rsidRPr="000E5579">
        <w:rPr>
          <w:rFonts w:ascii="Times New Roman" w:hAnsi="Times New Roman" w:cs="Times New Roman"/>
          <w:b/>
          <w:color w:val="000000"/>
          <w:sz w:val="20"/>
          <w:szCs w:val="20"/>
        </w:rPr>
        <w:t>KZT-TONIA-OIS-COMPOUND</w:t>
      </w:r>
      <w:r w:rsidRPr="000E5579">
        <w:rPr>
          <w:rFonts w:ascii="Times New Roman" w:hAnsi="Times New Roman" w:cs="Times New Roman"/>
          <w:color w:val="000000"/>
          <w:sz w:val="20"/>
          <w:szCs w:val="20"/>
        </w:rPr>
        <w:t>” means the rate for a Floating Rate</w:t>
      </w:r>
      <w:r>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Reset Date, calculated by the Calculation Agent in accordance with the provisions below, and the resulting percentage will be rounded, if necessary, in accordance with the method set forth in Section 4.8.1(</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of the Definitions, but nearest second decimal place of a percentage point, with 0.005 being rounded upwards:</w:t>
      </w:r>
    </w:p>
    <w:p w14:paraId="2A14968C" w14:textId="77777777"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noProof/>
          <w:lang w:val="ru-RU" w:eastAsia="ru-RU"/>
        </w:rPr>
        <w:drawing>
          <wp:inline distT="0" distB="0" distL="0" distR="0" wp14:anchorId="0CD8889E" wp14:editId="69FDD203">
            <wp:extent cx="5543550" cy="1057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0" cy="1057275"/>
                    </a:xfrm>
                    <a:prstGeom prst="rect">
                      <a:avLst/>
                    </a:prstGeom>
                    <a:noFill/>
                    <a:ln>
                      <a:noFill/>
                    </a:ln>
                  </pic:spPr>
                </pic:pic>
              </a:graphicData>
            </a:graphic>
          </wp:inline>
        </w:drawing>
      </w:r>
      <w:r w:rsidRPr="000E5579">
        <w:rPr>
          <w:rFonts w:ascii="Times New Roman" w:hAnsi="Times New Roman" w:cs="Times New Roman"/>
          <w:color w:val="000000"/>
          <w:sz w:val="20"/>
          <w:szCs w:val="20"/>
        </w:rPr>
        <w:t xml:space="preserve"> </w:t>
      </w:r>
    </w:p>
    <w:p w14:paraId="72E0334D" w14:textId="77777777"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lastRenderedPageBreak/>
        <w:t xml:space="preserve"> “dc” means the number of calendar days from (and including) TONIA </w:t>
      </w:r>
      <w:proofErr w:type="spellStart"/>
      <w:r w:rsidRPr="000E5579">
        <w:rPr>
          <w:rFonts w:ascii="Times New Roman" w:hAnsi="Times New Roman" w:cs="Times New Roman"/>
          <w:color w:val="000000"/>
          <w:sz w:val="20"/>
          <w:szCs w:val="20"/>
        </w:rPr>
        <w:t>IndexStart</w:t>
      </w:r>
      <w:proofErr w:type="spellEnd"/>
      <w:r w:rsidRPr="000E5579">
        <w:rPr>
          <w:rFonts w:ascii="Times New Roman" w:hAnsi="Times New Roman" w:cs="Times New Roman"/>
          <w:color w:val="000000"/>
          <w:sz w:val="20"/>
          <w:szCs w:val="20"/>
        </w:rPr>
        <w:t xml:space="preserve"> to (but excluding) TONIA </w:t>
      </w:r>
      <w:proofErr w:type="spellStart"/>
      <w:proofErr w:type="gramStart"/>
      <w:r w:rsidRPr="000E5579">
        <w:rPr>
          <w:rFonts w:ascii="Times New Roman" w:hAnsi="Times New Roman" w:cs="Times New Roman"/>
          <w:color w:val="000000"/>
          <w:sz w:val="20"/>
          <w:szCs w:val="20"/>
        </w:rPr>
        <w:t>IndexEnd</w:t>
      </w:r>
      <w:proofErr w:type="spellEnd"/>
      <w:r w:rsidRPr="000E5579">
        <w:rPr>
          <w:rFonts w:ascii="Times New Roman" w:hAnsi="Times New Roman" w:cs="Times New Roman"/>
          <w:color w:val="000000"/>
          <w:sz w:val="20"/>
          <w:szCs w:val="20"/>
        </w:rPr>
        <w:t>;</w:t>
      </w:r>
      <w:proofErr w:type="gramEnd"/>
    </w:p>
    <w:p w14:paraId="1E1D04E4" w14:textId="0A89FA2F"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“TONIA Index” means, in relation to any calendar day, the “TONIA Compounded Index (TCI)” value published by the Kazakhstan Stock Exchange (“KASE”) as administrator of the TONIA reference rate (or a successor administrator) on the </w:t>
      </w:r>
      <w:r w:rsidR="00B43B71" w:rsidRPr="000E5579">
        <w:rPr>
          <w:rFonts w:ascii="Times New Roman" w:hAnsi="Times New Roman" w:cs="Times New Roman"/>
          <w:color w:val="000000"/>
          <w:sz w:val="20"/>
          <w:szCs w:val="20"/>
        </w:rPr>
        <w:t>on</w:t>
      </w:r>
      <w:r w:rsidR="00B43B71">
        <w:rPr>
          <w:rFonts w:ascii="Times New Roman" w:hAnsi="Times New Roman" w:cs="Times New Roman"/>
          <w:color w:val="000000"/>
          <w:sz w:val="20"/>
          <w:szCs w:val="20"/>
        </w:rPr>
        <w:t xml:space="preserve"> </w:t>
      </w:r>
      <w:hyperlink r:id="rId10" w:history="1">
        <w:r w:rsidR="00B43B71" w:rsidRPr="0098454B">
          <w:rPr>
            <w:rStyle w:val="ab"/>
            <w:rFonts w:ascii="Times New Roman" w:hAnsi="Times New Roman" w:cs="Times New Roman"/>
            <w:sz w:val="20"/>
            <w:szCs w:val="20"/>
          </w:rPr>
          <w:t>https://kase.kz/en/money_market/repo-indicators/tonia_compounded/</w:t>
        </w:r>
      </w:hyperlink>
      <w:r w:rsidR="00B43B71">
        <w:rPr>
          <w:rFonts w:ascii="Times New Roman" w:hAnsi="Times New Roman" w:cs="Times New Roman"/>
          <w:color w:val="000000"/>
          <w:sz w:val="20"/>
          <w:szCs w:val="20"/>
        </w:rPr>
        <w:t xml:space="preserve"> (or a successor page),</w:t>
      </w:r>
      <w:r w:rsidR="00B43B71" w:rsidRPr="000E5579">
        <w:rPr>
          <w:rFonts w:ascii="Times New Roman" w:hAnsi="Times New Roman" w:cs="Times New Roman"/>
          <w:color w:val="000000"/>
          <w:sz w:val="20"/>
          <w:szCs w:val="20"/>
        </w:rPr>
        <w:t xml:space="preserve"> the </w:t>
      </w:r>
      <w:r w:rsidR="00B43B71">
        <w:rPr>
          <w:rFonts w:ascii="Times New Roman" w:hAnsi="Times New Roman" w:cs="Times New Roman"/>
          <w:color w:val="000000"/>
          <w:sz w:val="20"/>
          <w:szCs w:val="20"/>
        </w:rPr>
        <w:t>(“</w:t>
      </w:r>
      <w:r w:rsidR="00B43B71" w:rsidRPr="00E7306F">
        <w:rPr>
          <w:rFonts w:ascii="Times New Roman" w:hAnsi="Times New Roman" w:cs="Times New Roman"/>
          <w:b/>
          <w:bCs/>
          <w:color w:val="000000"/>
          <w:sz w:val="20"/>
          <w:szCs w:val="20"/>
        </w:rPr>
        <w:t>Relevant Screen Page</w:t>
      </w:r>
      <w:r w:rsidR="00B43B71">
        <w:rPr>
          <w:rFonts w:ascii="Times New Roman" w:hAnsi="Times New Roman" w:cs="Times New Roman"/>
          <w:color w:val="000000"/>
          <w:sz w:val="20"/>
          <w:szCs w:val="20"/>
        </w:rPr>
        <w:t>”)</w:t>
      </w:r>
      <w:r w:rsidR="00B43B71" w:rsidRPr="000E5579">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on or before 8:00 p.m. (Almaty Time) on such day;</w:t>
      </w:r>
    </w:p>
    <w:p w14:paraId="5A51524D" w14:textId="77777777"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“TONIA </w:t>
      </w:r>
      <w:proofErr w:type="spellStart"/>
      <w:r w:rsidRPr="000E5579">
        <w:rPr>
          <w:rFonts w:ascii="Times New Roman" w:hAnsi="Times New Roman" w:cs="Times New Roman"/>
          <w:color w:val="000000"/>
          <w:sz w:val="20"/>
          <w:szCs w:val="20"/>
        </w:rPr>
        <w:t>IndexEnd</w:t>
      </w:r>
      <w:proofErr w:type="spellEnd"/>
      <w:r w:rsidRPr="000E5579">
        <w:rPr>
          <w:rFonts w:ascii="Times New Roman" w:hAnsi="Times New Roman" w:cs="Times New Roman"/>
          <w:color w:val="000000"/>
          <w:sz w:val="20"/>
          <w:szCs w:val="20"/>
        </w:rPr>
        <w:t xml:space="preserve">” means the TONIA Index value </w:t>
      </w:r>
      <w:bookmarkStart w:id="6" w:name="_Hlk188349815"/>
      <w:r w:rsidRPr="000E5579">
        <w:rPr>
          <w:rFonts w:ascii="Times New Roman" w:hAnsi="Times New Roman" w:cs="Times New Roman"/>
          <w:color w:val="000000"/>
          <w:sz w:val="20"/>
          <w:szCs w:val="20"/>
        </w:rPr>
        <w:t xml:space="preserve">on the day which is </w:t>
      </w:r>
      <w:bookmarkEnd w:id="6"/>
      <w:r w:rsidRPr="000E5579">
        <w:rPr>
          <w:rFonts w:ascii="Times New Roman" w:hAnsi="Times New Roman" w:cs="Times New Roman"/>
          <w:color w:val="000000"/>
          <w:sz w:val="20"/>
          <w:szCs w:val="20"/>
        </w:rPr>
        <w:t>(</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the Floating Rate Payer Period End Date relating to such Calculation Period, or (ii) in the final Calculation Period, the Termination Date (each, an “Index Determination Date"</w:t>
      </w:r>
      <w:proofErr w:type="gramStart"/>
      <w:r w:rsidRPr="000E5579">
        <w:rPr>
          <w:rFonts w:ascii="Times New Roman" w:hAnsi="Times New Roman" w:cs="Times New Roman"/>
          <w:color w:val="000000"/>
          <w:sz w:val="20"/>
          <w:szCs w:val="20"/>
        </w:rPr>
        <w:t>);</w:t>
      </w:r>
      <w:proofErr w:type="gramEnd"/>
      <w:r w:rsidRPr="000E5579">
        <w:rPr>
          <w:rFonts w:ascii="Times New Roman" w:hAnsi="Times New Roman" w:cs="Times New Roman"/>
          <w:color w:val="000000"/>
          <w:sz w:val="20"/>
          <w:szCs w:val="20"/>
        </w:rPr>
        <w:t xml:space="preserve"> </w:t>
      </w:r>
    </w:p>
    <w:p w14:paraId="7CCF4C01" w14:textId="77777777"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“TONIA </w:t>
      </w:r>
      <w:proofErr w:type="spellStart"/>
      <w:r w:rsidRPr="000E5579">
        <w:rPr>
          <w:rFonts w:ascii="Times New Roman" w:hAnsi="Times New Roman" w:cs="Times New Roman"/>
          <w:color w:val="000000"/>
          <w:sz w:val="20"/>
          <w:szCs w:val="20"/>
        </w:rPr>
        <w:t>IndexStart</w:t>
      </w:r>
      <w:proofErr w:type="spellEnd"/>
      <w:r w:rsidRPr="000E5579">
        <w:rPr>
          <w:rFonts w:ascii="Times New Roman" w:hAnsi="Times New Roman" w:cs="Times New Roman"/>
          <w:color w:val="000000"/>
          <w:sz w:val="20"/>
          <w:szCs w:val="20"/>
        </w:rPr>
        <w:t>” means the TONIA Index value on the first date of the relevant Calculation Period (an "Index Determination Date"</w:t>
      </w:r>
      <w:proofErr w:type="gramStart"/>
      <w:r w:rsidRPr="000E5579">
        <w:rPr>
          <w:rFonts w:ascii="Times New Roman" w:hAnsi="Times New Roman" w:cs="Times New Roman"/>
          <w:color w:val="000000"/>
          <w:sz w:val="20"/>
          <w:szCs w:val="20"/>
        </w:rPr>
        <w:t>);</w:t>
      </w:r>
      <w:proofErr w:type="gramEnd"/>
      <w:r w:rsidRPr="000E5579">
        <w:rPr>
          <w:rFonts w:ascii="Times New Roman" w:hAnsi="Times New Roman" w:cs="Times New Roman"/>
          <w:color w:val="000000"/>
          <w:sz w:val="20"/>
          <w:szCs w:val="20"/>
        </w:rPr>
        <w:t xml:space="preserve"> </w:t>
      </w:r>
    </w:p>
    <w:p w14:paraId="37A3C21E" w14:textId="66D02200"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If the TONIA Index</w:t>
      </w:r>
      <w:r w:rsidRPr="000E5579">
        <w:rPr>
          <w:rFonts w:ascii="Times New Roman" w:hAnsi="Times New Roman" w:cs="Times New Roman"/>
        </w:rPr>
        <w:t xml:space="preserve"> </w:t>
      </w:r>
      <w:r w:rsidRPr="000E5579">
        <w:rPr>
          <w:rFonts w:ascii="Times New Roman" w:hAnsi="Times New Roman" w:cs="Times New Roman"/>
          <w:color w:val="000000"/>
          <w:sz w:val="20"/>
          <w:szCs w:val="20"/>
        </w:rPr>
        <w:t xml:space="preserve">is unavailable for a Floating Rate Reset Date on the </w:t>
      </w:r>
      <w:r w:rsidR="00B43B71">
        <w:rPr>
          <w:rFonts w:ascii="Times New Roman" w:hAnsi="Times New Roman" w:cs="Times New Roman"/>
          <w:color w:val="000000"/>
          <w:sz w:val="20"/>
          <w:szCs w:val="20"/>
        </w:rPr>
        <w:t>Relevant</w:t>
      </w:r>
      <w:r w:rsidRPr="000E5579">
        <w:rPr>
          <w:rFonts w:ascii="Times New Roman" w:hAnsi="Times New Roman" w:cs="Times New Roman"/>
          <w:color w:val="000000"/>
          <w:sz w:val="20"/>
          <w:szCs w:val="20"/>
        </w:rPr>
        <w:t xml:space="preserve"> Screen Page, KZT-TONIA-OIS-COMPOUND will be calculated by the Calculation Agent in accordance with the provisions below, and the resulting percentage will be rounded, if necessary, in accordance with the method set forth in Section 4.8.1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of the Definitions, but nearest second decimal place of a percentage point, with 0.005 being rounded upwards to</w:t>
      </w:r>
    </w:p>
    <w:p w14:paraId="205AC733" w14:textId="77777777" w:rsidR="00AB1B51" w:rsidRPr="000E5579" w:rsidRDefault="002B13E6" w:rsidP="00AB1B51">
      <w:pPr>
        <w:ind w:firstLine="11"/>
        <w:jc w:val="both"/>
        <w:rPr>
          <w:rFonts w:ascii="Times New Roman" w:hAnsi="Times New Roman" w:cs="Times New Roman"/>
          <w:color w:val="000000"/>
          <w:sz w:val="20"/>
          <w:szCs w:val="20"/>
        </w:rPr>
      </w:pPr>
      <m:oMathPara>
        <m:oMath>
          <m:d>
            <m:dPr>
              <m:begChr m:val="["/>
              <m:endChr m:val="]"/>
              <m:ctrlPr>
                <w:rPr>
                  <w:rFonts w:ascii="Cambria Math" w:hAnsi="Cambria Math" w:cs="Times New Roman"/>
                  <w:i/>
                  <w:color w:val="000000"/>
                  <w:sz w:val="20"/>
                  <w:szCs w:val="20"/>
                </w:rPr>
              </m:ctrlPr>
            </m:dPr>
            <m:e>
              <m:nary>
                <m:naryPr>
                  <m:chr m:val="∏"/>
                  <m:limLoc m:val="undOvr"/>
                  <m:ctrlPr>
                    <w:rPr>
                      <w:rFonts w:ascii="Cambria Math" w:hAnsi="Cambria Math" w:cs="Times New Roman"/>
                      <w:i/>
                      <w:color w:val="000000"/>
                      <w:sz w:val="20"/>
                      <w:szCs w:val="20"/>
                    </w:rPr>
                  </m:ctrlPr>
                </m:naryPr>
                <m:sub>
                  <m:r>
                    <w:rPr>
                      <w:rFonts w:ascii="Cambria Math" w:hAnsi="Cambria Math" w:cs="Times New Roman"/>
                      <w:color w:val="000000"/>
                      <w:sz w:val="20"/>
                      <w:szCs w:val="20"/>
                    </w:rPr>
                    <m:t>i=1</m:t>
                  </m:r>
                </m:sub>
                <m:sup>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d</m:t>
                      </m:r>
                    </m:e>
                    <m:sub>
                      <m:r>
                        <w:rPr>
                          <w:rFonts w:ascii="Cambria Math" w:hAnsi="Cambria Math" w:cs="Times New Roman"/>
                          <w:color w:val="000000"/>
                          <w:sz w:val="20"/>
                          <w:szCs w:val="20"/>
                        </w:rPr>
                        <m:t>0</m:t>
                      </m:r>
                    </m:sub>
                  </m:sSub>
                </m:sup>
                <m:e>
                  <m:d>
                    <m:dPr>
                      <m:ctrlPr>
                        <w:rPr>
                          <w:rFonts w:ascii="Cambria Math" w:hAnsi="Cambria Math" w:cs="Times New Roman"/>
                          <w:i/>
                          <w:color w:val="000000"/>
                          <w:sz w:val="20"/>
                          <w:szCs w:val="20"/>
                        </w:rPr>
                      </m:ctrlPr>
                    </m:dPr>
                    <m:e>
                      <m:r>
                        <w:rPr>
                          <w:rFonts w:ascii="Cambria Math" w:hAnsi="Cambria Math" w:cs="Times New Roman"/>
                          <w:color w:val="000000"/>
                          <w:sz w:val="20"/>
                          <w:szCs w:val="20"/>
                        </w:rPr>
                        <m:t>1+</m:t>
                      </m:r>
                      <m:f>
                        <m:fPr>
                          <m:ctrlPr>
                            <w:rPr>
                              <w:rFonts w:ascii="Cambria Math" w:hAnsi="Cambria Math" w:cs="Times New Roman"/>
                              <w:i/>
                              <w:color w:val="000000"/>
                              <w:sz w:val="20"/>
                              <w:szCs w:val="20"/>
                            </w:rPr>
                          </m:ctrlPr>
                        </m:fPr>
                        <m:num>
                          <m:r>
                            <w:rPr>
                              <w:rFonts w:ascii="Cambria Math" w:hAnsi="Cambria Math" w:cs="Times New Roman"/>
                              <w:color w:val="000000"/>
                              <w:sz w:val="20"/>
                              <w:szCs w:val="20"/>
                            </w:rPr>
                            <m:t>TONI</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A</m:t>
                              </m:r>
                            </m:e>
                            <m:sub>
                              <m:r>
                                <w:rPr>
                                  <w:rFonts w:ascii="Cambria Math" w:hAnsi="Cambria Math" w:cs="Times New Roman"/>
                                  <w:color w:val="000000"/>
                                  <w:sz w:val="20"/>
                                  <w:szCs w:val="20"/>
                                </w:rPr>
                                <m:t>i</m:t>
                              </m:r>
                            </m:sub>
                          </m:sSub>
                          <m:r>
                            <w:rPr>
                              <w:rFonts w:ascii="Cambria Math" w:hAnsi="Cambria Math" w:cs="Times New Roman"/>
                              <w:color w:val="000000"/>
                              <w:sz w:val="20"/>
                              <w:szCs w:val="20"/>
                            </w:rPr>
                            <m:t>×</m:t>
                          </m:r>
                          <m:sSub>
                            <m:sSubPr>
                              <m:ctrlPr>
                                <w:rPr>
                                  <w:rFonts w:ascii="Cambria Math" w:hAnsi="Cambria Math" w:cs="Times New Roman"/>
                                  <w:i/>
                                  <w:color w:val="000000"/>
                                  <w:sz w:val="20"/>
                                  <w:szCs w:val="20"/>
                                </w:rPr>
                              </m:ctrlPr>
                            </m:sSubPr>
                            <m:e>
                              <m:r>
                                <w:rPr>
                                  <w:rFonts w:ascii="Cambria Math" w:hAnsi="Cambria Math" w:cs="Times New Roman"/>
                                  <w:color w:val="000000"/>
                                  <w:sz w:val="20"/>
                                  <w:szCs w:val="20"/>
                                </w:rPr>
                                <m:t>n</m:t>
                              </m:r>
                            </m:e>
                            <m:sub>
                              <m:r>
                                <w:rPr>
                                  <w:rFonts w:ascii="Cambria Math" w:hAnsi="Cambria Math" w:cs="Times New Roman"/>
                                  <w:color w:val="000000"/>
                                  <w:sz w:val="20"/>
                                  <w:szCs w:val="20"/>
                                </w:rPr>
                                <m:t>i</m:t>
                              </m:r>
                            </m:sub>
                          </m:sSub>
                        </m:num>
                        <m:den>
                          <m:r>
                            <w:rPr>
                              <w:rFonts w:ascii="Cambria Math" w:hAnsi="Cambria Math" w:cs="Times New Roman"/>
                              <w:color w:val="000000"/>
                              <w:sz w:val="20"/>
                              <w:szCs w:val="20"/>
                            </w:rPr>
                            <m:t>365</m:t>
                          </m:r>
                        </m:den>
                      </m:f>
                    </m:e>
                  </m:d>
                  <m:r>
                    <w:rPr>
                      <w:rFonts w:ascii="Cambria Math" w:hAnsi="Cambria Math" w:cs="Times New Roman"/>
                      <w:color w:val="000000"/>
                      <w:sz w:val="20"/>
                      <w:szCs w:val="20"/>
                    </w:rPr>
                    <m:t>-1</m:t>
                  </m:r>
                </m:e>
              </m:nary>
            </m:e>
          </m:d>
          <m:r>
            <w:rPr>
              <w:rFonts w:ascii="Cambria Math" w:hAnsi="Cambria Math" w:cs="Times New Roman"/>
              <w:color w:val="000000"/>
              <w:sz w:val="20"/>
              <w:szCs w:val="20"/>
            </w:rPr>
            <m:t>×</m:t>
          </m:r>
          <m:f>
            <m:fPr>
              <m:ctrlPr>
                <w:rPr>
                  <w:rFonts w:ascii="Cambria Math" w:hAnsi="Cambria Math" w:cs="Times New Roman"/>
                  <w:i/>
                  <w:color w:val="000000"/>
                  <w:sz w:val="20"/>
                  <w:szCs w:val="20"/>
                </w:rPr>
              </m:ctrlPr>
            </m:fPr>
            <m:num>
              <m:r>
                <w:rPr>
                  <w:rFonts w:ascii="Cambria Math" w:hAnsi="Cambria Math" w:cs="Times New Roman"/>
                  <w:color w:val="000000"/>
                  <w:sz w:val="20"/>
                  <w:szCs w:val="20"/>
                </w:rPr>
                <m:t>365</m:t>
              </m:r>
            </m:num>
            <m:den>
              <m:r>
                <w:rPr>
                  <w:rFonts w:ascii="Cambria Math" w:hAnsi="Cambria Math" w:cs="Times New Roman"/>
                  <w:color w:val="000000"/>
                  <w:sz w:val="20"/>
                  <w:szCs w:val="20"/>
                </w:rPr>
                <m:t>d</m:t>
              </m:r>
            </m:den>
          </m:f>
        </m:oMath>
      </m:oMathPara>
    </w:p>
    <w:p w14:paraId="5598C23F" w14:textId="77777777" w:rsidR="00AB1B51" w:rsidRPr="000E5579" w:rsidRDefault="00AB1B51" w:rsidP="00AB1B51">
      <w:pPr>
        <w:ind w:firstLine="11"/>
        <w:jc w:val="both"/>
        <w:rPr>
          <w:rFonts w:ascii="Times New Roman" w:hAnsi="Times New Roman" w:cs="Times New Roman"/>
          <w:i/>
          <w:color w:val="000000"/>
          <w:sz w:val="20"/>
          <w:szCs w:val="20"/>
        </w:rPr>
      </w:pPr>
      <w:r w:rsidRPr="000E5579">
        <w:rPr>
          <w:rFonts w:ascii="Times New Roman" w:hAnsi="Times New Roman" w:cs="Times New Roman"/>
          <w:i/>
          <w:color w:val="000000"/>
          <w:sz w:val="20"/>
          <w:szCs w:val="20"/>
        </w:rPr>
        <w:t xml:space="preserve"> Where: </w:t>
      </w:r>
    </w:p>
    <w:p w14:paraId="4DBC15D5" w14:textId="4AF512FD" w:rsidR="00CB59F0" w:rsidRDefault="00CB59F0" w:rsidP="00CB59F0">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r w:rsidRPr="000E5579">
        <w:rPr>
          <w:rFonts w:ascii="Times New Roman" w:hAnsi="Times New Roman" w:cs="Times New Roman"/>
          <w:b/>
          <w:i/>
          <w:color w:val="000000"/>
          <w:sz w:val="20"/>
          <w:szCs w:val="20"/>
        </w:rPr>
        <w:t>d</w:t>
      </w:r>
      <w:r w:rsidRPr="000E5579">
        <w:rPr>
          <w:rFonts w:ascii="Times New Roman" w:hAnsi="Times New Roman" w:cs="Times New Roman"/>
          <w:color w:val="000000"/>
          <w:sz w:val="20"/>
          <w:szCs w:val="20"/>
        </w:rPr>
        <w:t xml:space="preserve">” is the number of calendar days in the relevant Calculation </w:t>
      </w:r>
      <w:proofErr w:type="gramStart"/>
      <w:r w:rsidRPr="000E5579">
        <w:rPr>
          <w:rFonts w:ascii="Times New Roman" w:hAnsi="Times New Roman" w:cs="Times New Roman"/>
          <w:color w:val="000000"/>
          <w:sz w:val="20"/>
          <w:szCs w:val="20"/>
        </w:rPr>
        <w:t>Period;</w:t>
      </w:r>
      <w:proofErr w:type="gramEnd"/>
    </w:p>
    <w:p w14:paraId="0D036A76" w14:textId="17F6E658" w:rsidR="00B43B71"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r w:rsidRPr="000E5579">
        <w:rPr>
          <w:rFonts w:ascii="Times New Roman" w:hAnsi="Times New Roman" w:cs="Times New Roman"/>
          <w:b/>
          <w:i/>
          <w:color w:val="000000"/>
          <w:sz w:val="20"/>
          <w:szCs w:val="20"/>
        </w:rPr>
        <w:t>d</w:t>
      </w:r>
      <w:r w:rsidRPr="000E5579">
        <w:rPr>
          <w:rFonts w:ascii="Times New Roman" w:hAnsi="Times New Roman" w:cs="Times New Roman"/>
          <w:b/>
          <w:i/>
          <w:color w:val="000000"/>
          <w:sz w:val="20"/>
          <w:szCs w:val="20"/>
          <w:vertAlign w:val="subscript"/>
        </w:rPr>
        <w:t>o</w:t>
      </w:r>
      <w:r w:rsidRPr="000E5579">
        <w:rPr>
          <w:rFonts w:ascii="Times New Roman" w:hAnsi="Times New Roman" w:cs="Times New Roman"/>
          <w:color w:val="000000"/>
          <w:sz w:val="20"/>
          <w:szCs w:val="20"/>
        </w:rPr>
        <w:t>”</w:t>
      </w:r>
      <w:r w:rsidR="00CB59F0">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is the number of Almaty Business Days in the relevant Calculation </w:t>
      </w:r>
      <w:proofErr w:type="gramStart"/>
      <w:r w:rsidRPr="000E5579">
        <w:rPr>
          <w:rFonts w:ascii="Times New Roman" w:hAnsi="Times New Roman" w:cs="Times New Roman"/>
          <w:color w:val="000000"/>
          <w:sz w:val="20"/>
          <w:szCs w:val="20"/>
        </w:rPr>
        <w:t>Period;</w:t>
      </w:r>
      <w:proofErr w:type="gramEnd"/>
      <w:r w:rsidRPr="000E5579">
        <w:rPr>
          <w:rFonts w:ascii="Times New Roman" w:hAnsi="Times New Roman" w:cs="Times New Roman"/>
          <w:color w:val="000000"/>
          <w:sz w:val="20"/>
          <w:szCs w:val="20"/>
        </w:rPr>
        <w:t xml:space="preserve"> </w:t>
      </w:r>
    </w:p>
    <w:p w14:paraId="6060D91B" w14:textId="692D6187"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proofErr w:type="spellStart"/>
      <w:r w:rsidRPr="000E5579">
        <w:rPr>
          <w:rFonts w:ascii="Times New Roman" w:hAnsi="Times New Roman" w:cs="Times New Roman"/>
          <w:b/>
          <w:i/>
          <w:color w:val="000000"/>
          <w:sz w:val="20"/>
          <w:szCs w:val="20"/>
        </w:rPr>
        <w:t>i</w:t>
      </w:r>
      <w:proofErr w:type="spellEnd"/>
      <w:r w:rsidRPr="000E5579">
        <w:rPr>
          <w:rFonts w:ascii="Times New Roman" w:hAnsi="Times New Roman" w:cs="Times New Roman"/>
          <w:color w:val="000000"/>
          <w:sz w:val="20"/>
          <w:szCs w:val="20"/>
        </w:rPr>
        <w:t xml:space="preserve">” is a series of whole numbers from one to </w:t>
      </w:r>
      <w:r w:rsidRPr="000E5579">
        <w:rPr>
          <w:rFonts w:ascii="Times New Roman" w:hAnsi="Times New Roman" w:cs="Times New Roman"/>
          <w:i/>
          <w:color w:val="000000"/>
          <w:sz w:val="20"/>
          <w:szCs w:val="20"/>
        </w:rPr>
        <w:t>d</w:t>
      </w:r>
      <w:r w:rsidRPr="000E5579">
        <w:rPr>
          <w:rFonts w:ascii="Times New Roman" w:hAnsi="Times New Roman" w:cs="Times New Roman"/>
          <w:i/>
          <w:color w:val="000000"/>
          <w:sz w:val="20"/>
          <w:szCs w:val="20"/>
          <w:vertAlign w:val="subscript"/>
        </w:rPr>
        <w:t>o</w:t>
      </w:r>
      <w:r w:rsidRPr="000E5579">
        <w:rPr>
          <w:rFonts w:ascii="Times New Roman" w:hAnsi="Times New Roman" w:cs="Times New Roman"/>
          <w:color w:val="000000"/>
          <w:sz w:val="20"/>
          <w:szCs w:val="20"/>
        </w:rPr>
        <w:t>, each representing the relevant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in chronological order from, and including, the first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Day in the relevant </w:t>
      </w:r>
      <w:r>
        <w:rPr>
          <w:rFonts w:ascii="Times New Roman" w:hAnsi="Times New Roman" w:cs="Times New Roman"/>
          <w:color w:val="000000"/>
          <w:sz w:val="20"/>
          <w:szCs w:val="20"/>
        </w:rPr>
        <w:t>Calculation</w:t>
      </w:r>
      <w:r w:rsidRPr="000E5579">
        <w:rPr>
          <w:rFonts w:ascii="Times New Roman" w:hAnsi="Times New Roman" w:cs="Times New Roman"/>
          <w:color w:val="000000"/>
          <w:sz w:val="20"/>
          <w:szCs w:val="20"/>
        </w:rPr>
        <w:t xml:space="preserve"> </w:t>
      </w:r>
      <w:proofErr w:type="gramStart"/>
      <w:r w:rsidRPr="000E5579">
        <w:rPr>
          <w:rFonts w:ascii="Times New Roman" w:hAnsi="Times New Roman" w:cs="Times New Roman"/>
          <w:color w:val="000000"/>
          <w:sz w:val="20"/>
          <w:szCs w:val="20"/>
        </w:rPr>
        <w:t>Period;</w:t>
      </w:r>
      <w:proofErr w:type="gramEnd"/>
      <w:r w:rsidRPr="000E5579">
        <w:rPr>
          <w:rFonts w:ascii="Times New Roman" w:hAnsi="Times New Roman" w:cs="Times New Roman"/>
          <w:color w:val="000000"/>
          <w:sz w:val="20"/>
          <w:szCs w:val="20"/>
        </w:rPr>
        <w:t xml:space="preserve"> </w:t>
      </w:r>
    </w:p>
    <w:p w14:paraId="7E75C210" w14:textId="78B0B9EC"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proofErr w:type="spellStart"/>
      <w:r w:rsidRPr="000E5579">
        <w:rPr>
          <w:rFonts w:ascii="Times New Roman" w:hAnsi="Times New Roman" w:cs="Times New Roman"/>
          <w:b/>
          <w:i/>
          <w:color w:val="000000"/>
          <w:sz w:val="20"/>
          <w:szCs w:val="20"/>
        </w:rPr>
        <w:t>n</w:t>
      </w:r>
      <w:r w:rsidRPr="000E5579">
        <w:rPr>
          <w:rFonts w:ascii="Times New Roman" w:hAnsi="Times New Roman" w:cs="Times New Roman"/>
          <w:b/>
          <w:i/>
          <w:color w:val="000000"/>
          <w:sz w:val="20"/>
          <w:szCs w:val="20"/>
          <w:vertAlign w:val="subscript"/>
        </w:rPr>
        <w:t>i</w:t>
      </w:r>
      <w:proofErr w:type="spellEnd"/>
      <w:r w:rsidRPr="000E5579">
        <w:rPr>
          <w:rFonts w:ascii="Times New Roman" w:hAnsi="Times New Roman" w:cs="Times New Roman"/>
          <w:color w:val="000000"/>
          <w:sz w:val="20"/>
          <w:szCs w:val="20"/>
        </w:rPr>
        <w:t>” for any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w:t>
      </w:r>
      <w:r w:rsidR="00B43B71">
        <w:rPr>
          <w:rFonts w:ascii="Times New Roman" w:hAnsi="Times New Roman" w:cs="Times New Roman"/>
          <w:color w:val="000000"/>
          <w:sz w:val="20"/>
          <w:szCs w:val="20"/>
        </w:rPr>
        <w:t>s</w:t>
      </w:r>
      <w:r w:rsidRPr="000E5579">
        <w:rPr>
          <w:rFonts w:ascii="Times New Roman" w:hAnsi="Times New Roman" w:cs="Times New Roman"/>
          <w:color w:val="000000"/>
          <w:sz w:val="20"/>
          <w:szCs w:val="20"/>
        </w:rPr>
        <w:t xml:space="preserve">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xml:space="preserve">" in the relevant </w:t>
      </w:r>
      <w:r>
        <w:rPr>
          <w:rFonts w:ascii="Times New Roman" w:hAnsi="Times New Roman" w:cs="Times New Roman"/>
          <w:color w:val="000000"/>
          <w:sz w:val="20"/>
          <w:szCs w:val="20"/>
        </w:rPr>
        <w:t>Calculation</w:t>
      </w:r>
      <w:r w:rsidRPr="000E5579">
        <w:rPr>
          <w:rFonts w:ascii="Times New Roman" w:hAnsi="Times New Roman" w:cs="Times New Roman"/>
          <w:color w:val="000000"/>
          <w:sz w:val="20"/>
          <w:szCs w:val="20"/>
        </w:rPr>
        <w:t xml:space="preserve"> Period, is the number of calendar days from, and including, such </w:t>
      </w:r>
      <w:bookmarkStart w:id="7" w:name="_Hlk188351308"/>
      <w:r w:rsidRPr="000E5579">
        <w:rPr>
          <w:rFonts w:ascii="Times New Roman" w:hAnsi="Times New Roman" w:cs="Times New Roman"/>
          <w:color w:val="000000"/>
          <w:sz w:val="20"/>
          <w:szCs w:val="20"/>
        </w:rPr>
        <w:t>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Day </w:t>
      </w:r>
      <w:bookmarkEnd w:id="7"/>
      <w:r w:rsidRPr="000E5579">
        <w:rPr>
          <w:rFonts w:ascii="Times New Roman" w:hAnsi="Times New Roman" w:cs="Times New Roman"/>
          <w:color w:val="000000"/>
          <w:sz w:val="20"/>
          <w:szCs w:val="20"/>
        </w:rPr>
        <w:t>“</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up to, but excluding, the following Almaty</w:t>
      </w:r>
      <w:r w:rsidR="00B43B71">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Business</w:t>
      </w:r>
      <w:r w:rsidRPr="000E5579" w:rsidDel="00107B82">
        <w:rPr>
          <w:rFonts w:ascii="Times New Roman" w:hAnsi="Times New Roman" w:cs="Times New Roman"/>
          <w:color w:val="000000"/>
          <w:sz w:val="20"/>
          <w:szCs w:val="20"/>
        </w:rPr>
        <w:t xml:space="preserve"> </w:t>
      </w:r>
      <w:proofErr w:type="gramStart"/>
      <w:r w:rsidRPr="000E5579">
        <w:rPr>
          <w:rFonts w:ascii="Times New Roman" w:hAnsi="Times New Roman" w:cs="Times New Roman"/>
          <w:color w:val="000000"/>
          <w:sz w:val="20"/>
          <w:szCs w:val="20"/>
        </w:rPr>
        <w:t>Day;</w:t>
      </w:r>
      <w:proofErr w:type="gramEnd"/>
      <w:r w:rsidRPr="000E5579">
        <w:rPr>
          <w:rFonts w:ascii="Times New Roman" w:hAnsi="Times New Roman" w:cs="Times New Roman"/>
          <w:color w:val="000000"/>
          <w:sz w:val="20"/>
          <w:szCs w:val="20"/>
        </w:rPr>
        <w:t xml:space="preserve"> </w:t>
      </w:r>
    </w:p>
    <w:p w14:paraId="30259A76" w14:textId="77777777"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proofErr w:type="spellStart"/>
      <w:r w:rsidRPr="000E5579">
        <w:rPr>
          <w:rFonts w:ascii="Times New Roman" w:hAnsi="Times New Roman" w:cs="Times New Roman"/>
          <w:b/>
          <w:i/>
          <w:color w:val="000000"/>
          <w:sz w:val="20"/>
          <w:szCs w:val="20"/>
        </w:rPr>
        <w:t>TONIA</w:t>
      </w:r>
      <w:r w:rsidRPr="000E5579">
        <w:rPr>
          <w:rFonts w:ascii="Times New Roman" w:hAnsi="Times New Roman" w:cs="Times New Roman"/>
          <w:b/>
          <w:i/>
          <w:color w:val="000000"/>
          <w:sz w:val="20"/>
          <w:szCs w:val="20"/>
          <w:vertAlign w:val="subscript"/>
        </w:rPr>
        <w:t>i</w:t>
      </w:r>
      <w:proofErr w:type="spellEnd"/>
      <w:r w:rsidRPr="000E5579">
        <w:rPr>
          <w:rFonts w:ascii="Times New Roman" w:hAnsi="Times New Roman" w:cs="Times New Roman"/>
          <w:color w:val="000000"/>
          <w:sz w:val="20"/>
          <w:szCs w:val="20"/>
        </w:rPr>
        <w:t>” means the TONIA Reference Rate for the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in the relevant Calculation Period (and published on the same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w:t>
      </w:r>
      <w:proofErr w:type="gramStart"/>
      <w:r w:rsidRPr="000E5579">
        <w:rPr>
          <w:rFonts w:ascii="Times New Roman" w:hAnsi="Times New Roman" w:cs="Times New Roman"/>
          <w:color w:val="000000"/>
          <w:sz w:val="20"/>
          <w:szCs w:val="20"/>
        </w:rPr>
        <w:t>);</w:t>
      </w:r>
      <w:proofErr w:type="gramEnd"/>
    </w:p>
    <w:p w14:paraId="2DA374CA" w14:textId="77777777"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r w:rsidRPr="000E5579">
        <w:rPr>
          <w:rFonts w:ascii="Times New Roman" w:hAnsi="Times New Roman" w:cs="Times New Roman"/>
          <w:b/>
          <w:color w:val="000000"/>
          <w:sz w:val="20"/>
          <w:szCs w:val="20"/>
        </w:rPr>
        <w:t>TONIA Reference Rate</w:t>
      </w:r>
      <w:r w:rsidRPr="000E5579">
        <w:rPr>
          <w:rFonts w:ascii="Times New Roman" w:hAnsi="Times New Roman" w:cs="Times New Roman"/>
          <w:color w:val="000000"/>
          <w:sz w:val="20"/>
          <w:szCs w:val="20"/>
        </w:rPr>
        <w:t>”, for any day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xml:space="preserve">” in the relevant Calculation Period is a reference rate equal to the daily Tenge </w:t>
      </w:r>
      <w:proofErr w:type="spellStart"/>
      <w:r w:rsidRPr="000E5579">
        <w:rPr>
          <w:rFonts w:ascii="Times New Roman" w:hAnsi="Times New Roman" w:cs="Times New Roman"/>
          <w:color w:val="000000"/>
          <w:sz w:val="20"/>
          <w:szCs w:val="20"/>
        </w:rPr>
        <w:t>OverNight</w:t>
      </w:r>
      <w:proofErr w:type="spellEnd"/>
      <w:r w:rsidRPr="000E5579">
        <w:rPr>
          <w:rFonts w:ascii="Times New Roman" w:hAnsi="Times New Roman" w:cs="Times New Roman"/>
          <w:color w:val="000000"/>
          <w:sz w:val="20"/>
          <w:szCs w:val="20"/>
        </w:rPr>
        <w:t xml:space="preserve"> Index Average (“</w:t>
      </w:r>
      <w:r w:rsidRPr="000E5579">
        <w:rPr>
          <w:rFonts w:ascii="Times New Roman" w:hAnsi="Times New Roman" w:cs="Times New Roman"/>
          <w:b/>
          <w:color w:val="000000"/>
          <w:sz w:val="20"/>
          <w:szCs w:val="20"/>
        </w:rPr>
        <w:t>TONIA</w:t>
      </w:r>
      <w:r w:rsidRPr="000E5579">
        <w:rPr>
          <w:rFonts w:ascii="Times New Roman" w:hAnsi="Times New Roman" w:cs="Times New Roman"/>
          <w:color w:val="000000"/>
          <w:sz w:val="20"/>
          <w:szCs w:val="20"/>
        </w:rPr>
        <w:t>”) rate for such day as published by the Kazakhstan Stock Exchange (“</w:t>
      </w:r>
      <w:r w:rsidRPr="000E5579">
        <w:rPr>
          <w:rFonts w:ascii="Times New Roman" w:hAnsi="Times New Roman" w:cs="Times New Roman"/>
          <w:b/>
          <w:color w:val="000000"/>
          <w:sz w:val="20"/>
          <w:szCs w:val="20"/>
        </w:rPr>
        <w:t>KASE</w:t>
      </w:r>
      <w:r w:rsidRPr="000E5579">
        <w:rPr>
          <w:rFonts w:ascii="Times New Roman" w:hAnsi="Times New Roman" w:cs="Times New Roman"/>
          <w:color w:val="000000"/>
          <w:sz w:val="20"/>
          <w:szCs w:val="20"/>
        </w:rPr>
        <w:t>”) on or before 8:00 p.m. (Almaty time) on the “TONIA” page on the KASE’s website (https://kase.kz/en/money_market/repo-indicators/tonia/) (the “</w:t>
      </w:r>
      <w:r w:rsidRPr="000E5579">
        <w:rPr>
          <w:rFonts w:ascii="Times New Roman" w:hAnsi="Times New Roman" w:cs="Times New Roman"/>
          <w:b/>
          <w:color w:val="000000"/>
          <w:sz w:val="20"/>
          <w:szCs w:val="20"/>
        </w:rPr>
        <w:t>TONIA Screen Page</w:t>
      </w:r>
      <w:r w:rsidRPr="000E5579">
        <w:rPr>
          <w:rFonts w:ascii="Times New Roman" w:hAnsi="Times New Roman" w:cs="Times New Roman"/>
          <w:color w:val="000000"/>
          <w:sz w:val="20"/>
          <w:szCs w:val="20"/>
        </w:rPr>
        <w:t>”).</w:t>
      </w:r>
    </w:p>
    <w:p w14:paraId="760FA88A" w14:textId="7646827C" w:rsidR="00CB59F0" w:rsidRDefault="00CB59F0" w:rsidP="00CB59F0">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w:t>
      </w:r>
      <w:r w:rsidRPr="000E5579">
        <w:rPr>
          <w:rFonts w:ascii="Times New Roman" w:hAnsi="Times New Roman" w:cs="Times New Roman"/>
          <w:b/>
          <w:color w:val="000000"/>
          <w:sz w:val="20"/>
          <w:szCs w:val="20"/>
        </w:rPr>
        <w:t>Almaty Business Day</w:t>
      </w:r>
      <w:r w:rsidRPr="000E5579">
        <w:rPr>
          <w:rFonts w:ascii="Times New Roman" w:hAnsi="Times New Roman" w:cs="Times New Roman"/>
          <w:color w:val="000000"/>
          <w:sz w:val="20"/>
          <w:szCs w:val="20"/>
        </w:rPr>
        <w:t>” means any day on which commercial banks and foreign exchange markets settle payments and are open for general business (including dealings in foreign exchange and foreign currency deposits) in Almaty, Kazakhstan.</w:t>
      </w:r>
    </w:p>
    <w:p w14:paraId="72C42DA4" w14:textId="375FECE4"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 xml:space="preserve">For the purposes of this Confirmation, </w:t>
      </w:r>
      <w:r w:rsidR="006B65DE">
        <w:rPr>
          <w:rFonts w:ascii="Times New Roman" w:hAnsi="Times New Roman" w:cs="Times New Roman"/>
          <w:color w:val="000000"/>
          <w:sz w:val="20"/>
          <w:szCs w:val="20"/>
        </w:rPr>
        <w:t>“</w:t>
      </w:r>
      <w:r w:rsidR="006B65DE" w:rsidRPr="00071050">
        <w:rPr>
          <w:rFonts w:ascii="Times New Roman" w:hAnsi="Times New Roman" w:cs="Times New Roman"/>
          <w:b/>
          <w:bCs/>
          <w:color w:val="000000"/>
          <w:sz w:val="20"/>
          <w:szCs w:val="20"/>
        </w:rPr>
        <w:t>Relevant Screen Page</w:t>
      </w:r>
      <w:r w:rsidR="006B65DE">
        <w:rPr>
          <w:rFonts w:ascii="Times New Roman" w:hAnsi="Times New Roman" w:cs="Times New Roman"/>
          <w:color w:val="000000"/>
          <w:sz w:val="20"/>
          <w:szCs w:val="20"/>
        </w:rPr>
        <w:t xml:space="preserve">” or </w:t>
      </w:r>
      <w:r w:rsidRPr="000E5579">
        <w:rPr>
          <w:rFonts w:ascii="Times New Roman" w:hAnsi="Times New Roman" w:cs="Times New Roman"/>
          <w:color w:val="000000"/>
          <w:sz w:val="20"/>
          <w:szCs w:val="20"/>
        </w:rPr>
        <w:t>“</w:t>
      </w:r>
      <w:r w:rsidRPr="000E5579">
        <w:rPr>
          <w:rFonts w:ascii="Times New Roman" w:hAnsi="Times New Roman" w:cs="Times New Roman"/>
          <w:b/>
          <w:color w:val="000000"/>
          <w:sz w:val="20"/>
          <w:szCs w:val="20"/>
        </w:rPr>
        <w:t>TONIA Screen Page</w:t>
      </w:r>
      <w:r w:rsidRPr="000E5579">
        <w:rPr>
          <w:rFonts w:ascii="Times New Roman" w:hAnsi="Times New Roman" w:cs="Times New Roman"/>
          <w:color w:val="000000"/>
          <w:sz w:val="20"/>
          <w:szCs w:val="20"/>
        </w:rPr>
        <w:t>” means, when used in connection with any designated page, the display page so designated by the KASE, or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any successor display page, other published source, information vendor or provider that has been officially designated by the sponsor of the original page or source; or (ii) if the sponsor has not officially designated a successor display page, another published source, service or provider (as the case may be), the successor display page, other published source, service or provider, if any, designated by the relevant information vendor or provider (if different from the sponsor).If, in respect of any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in the relevant Calculation Period, the Calculation Agent determines that the TONIA Reference Rate is not available on the TONIA Screen Page or any successor page or website of the KASE or successor administrator for the purposes of publishing the TONIA Reference Rate, such TONIA Reference Rate shall be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)(a) the National Bank of Kazakhstan’s (“</w:t>
      </w:r>
      <w:r w:rsidRPr="000E5579">
        <w:rPr>
          <w:rFonts w:ascii="Times New Roman" w:hAnsi="Times New Roman" w:cs="Times New Roman"/>
          <w:b/>
          <w:color w:val="000000"/>
          <w:sz w:val="20"/>
          <w:szCs w:val="20"/>
        </w:rPr>
        <w:t>NBK</w:t>
      </w:r>
      <w:r w:rsidRPr="000E5579">
        <w:rPr>
          <w:rFonts w:ascii="Times New Roman" w:hAnsi="Times New Roman" w:cs="Times New Roman"/>
          <w:color w:val="000000"/>
          <w:sz w:val="20"/>
          <w:szCs w:val="20"/>
        </w:rPr>
        <w:t>”) Base Interest Rate (the “</w:t>
      </w:r>
      <w:r w:rsidRPr="000E5579">
        <w:rPr>
          <w:rFonts w:ascii="Times New Roman" w:hAnsi="Times New Roman" w:cs="Times New Roman"/>
          <w:b/>
          <w:color w:val="000000"/>
          <w:sz w:val="20"/>
          <w:szCs w:val="20"/>
        </w:rPr>
        <w:t>Base Rate</w:t>
      </w:r>
      <w:r w:rsidRPr="000E5579">
        <w:rPr>
          <w:rFonts w:ascii="Times New Roman" w:hAnsi="Times New Roman" w:cs="Times New Roman"/>
          <w:color w:val="000000"/>
          <w:sz w:val="20"/>
          <w:szCs w:val="20"/>
        </w:rPr>
        <w:t>”) prevailing at close of business on such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(as published on the NBK’s website: https://nationalbank.kz/en (the “</w:t>
      </w:r>
      <w:r w:rsidRPr="000E5579">
        <w:rPr>
          <w:rFonts w:ascii="Times New Roman" w:hAnsi="Times New Roman" w:cs="Times New Roman"/>
          <w:b/>
          <w:color w:val="000000"/>
          <w:sz w:val="20"/>
          <w:szCs w:val="20"/>
        </w:rPr>
        <w:t>NBK Website</w:t>
      </w:r>
      <w:r w:rsidRPr="000E5579">
        <w:rPr>
          <w:rFonts w:ascii="Times New Roman" w:hAnsi="Times New Roman" w:cs="Times New Roman"/>
          <w:color w:val="000000"/>
          <w:sz w:val="20"/>
          <w:szCs w:val="20"/>
        </w:rPr>
        <w:t>”)), or (b) if the Base Rate is not published by the NBK at close of business on such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Day, the Base Rate prevailing on the last Almaty Business</w:t>
      </w:r>
      <w:r w:rsidRPr="000E5579" w:rsidDel="00107B82">
        <w:rPr>
          <w:rFonts w:ascii="Times New Roman" w:hAnsi="Times New Roman" w:cs="Times New Roman"/>
          <w:color w:val="000000"/>
          <w:sz w:val="20"/>
          <w:szCs w:val="20"/>
        </w:rPr>
        <w:t xml:space="preserve"> </w:t>
      </w:r>
      <w:r w:rsidRPr="000E5579">
        <w:rPr>
          <w:rFonts w:ascii="Times New Roman" w:hAnsi="Times New Roman" w:cs="Times New Roman"/>
          <w:color w:val="000000"/>
          <w:sz w:val="20"/>
          <w:szCs w:val="20"/>
        </w:rPr>
        <w:t xml:space="preserve">Day on which the </w:t>
      </w:r>
      <w:r w:rsidRPr="000E5579">
        <w:rPr>
          <w:rFonts w:ascii="Times New Roman" w:hAnsi="Times New Roman" w:cs="Times New Roman"/>
          <w:color w:val="000000"/>
          <w:sz w:val="20"/>
          <w:szCs w:val="20"/>
        </w:rPr>
        <w:lastRenderedPageBreak/>
        <w:t>Base Rate was published on the NBK Website; plus (ii) the mean of the spread of the TONIA Reference Rate to the Base Rate over the previous five days on which a TONIA Reference Rate has been published, excluding the highest spread (or, if there is more than one highest spread, one only of those highest spreads) and the lowest spread (or, if there is more than one lowest spread, one only of those lowest spreads) to the Base Rate.</w:t>
      </w:r>
    </w:p>
    <w:p w14:paraId="6B17D89F" w14:textId="5100FFA8" w:rsidR="00AB1B51" w:rsidRPr="000E5579" w:rsidRDefault="00AB1B51" w:rsidP="00AB1B51">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Notwithstanding the paragraph above, if the NBK publishes guidance as to (</w:t>
      </w:r>
      <w:proofErr w:type="spellStart"/>
      <w:r w:rsidRPr="000E5579">
        <w:rPr>
          <w:rFonts w:ascii="Times New Roman" w:hAnsi="Times New Roman" w:cs="Times New Roman"/>
          <w:color w:val="000000"/>
          <w:sz w:val="20"/>
          <w:szCs w:val="20"/>
        </w:rPr>
        <w:t>i</w:t>
      </w:r>
      <w:proofErr w:type="spellEnd"/>
      <w:r w:rsidRPr="000E5579">
        <w:rPr>
          <w:rFonts w:ascii="Times New Roman" w:hAnsi="Times New Roman" w:cs="Times New Roman"/>
          <w:color w:val="000000"/>
          <w:sz w:val="20"/>
          <w:szCs w:val="20"/>
        </w:rPr>
        <w:t>) how the TONIA Reference Rate is to be determined or (ii) any rate that is to replace the TONIA Reference Rate, the Calculation Agent shall, to the extent that it is reasonably practicable, follow such guidance in order to determine TONIA for the purposes of this Transaction for so long as the TONIA Reference Rate is not available or has not been published by the KASE or other replacement source</w:t>
      </w:r>
      <w:r w:rsidR="00CB59F0" w:rsidRPr="00CB59F0">
        <w:rPr>
          <w:rFonts w:ascii="Times New Roman" w:hAnsi="Times New Roman" w:cs="Times New Roman"/>
          <w:color w:val="000000"/>
          <w:sz w:val="20"/>
          <w:szCs w:val="20"/>
        </w:rPr>
        <w:t xml:space="preserve"> </w:t>
      </w:r>
      <w:r w:rsidR="00CB59F0" w:rsidRPr="000E5579">
        <w:rPr>
          <w:rFonts w:ascii="Times New Roman" w:hAnsi="Times New Roman" w:cs="Times New Roman"/>
          <w:color w:val="000000"/>
          <w:sz w:val="20"/>
          <w:szCs w:val="20"/>
        </w:rPr>
        <w:t>; and</w:t>
      </w:r>
    </w:p>
    <w:p w14:paraId="3227C94B" w14:textId="6512596F" w:rsidR="00B43B71" w:rsidRDefault="00AB1B51" w:rsidP="00CB59F0">
      <w:pPr>
        <w:ind w:firstLine="11"/>
        <w:jc w:val="both"/>
        <w:rPr>
          <w:rFonts w:ascii="Times New Roman" w:hAnsi="Times New Roman" w:cs="Times New Roman"/>
          <w:color w:val="000000"/>
          <w:sz w:val="20"/>
          <w:szCs w:val="20"/>
        </w:rPr>
      </w:pPr>
      <w:r w:rsidRPr="000E5579">
        <w:rPr>
          <w:rFonts w:ascii="Times New Roman" w:hAnsi="Times New Roman" w:cs="Times New Roman"/>
          <w:color w:val="000000"/>
          <w:sz w:val="20"/>
          <w:szCs w:val="20"/>
        </w:rPr>
        <w:t>If the TONIA Reference Rate ceases to exist, and the Calculation Agent determines that there is no industry accepted successor base rate for derivative market instruments linked to the TONIA Reference Rate, and that no substitute or other successor base rate is comparable to the TONIA Reference Rate, the Floating Rate will be determined by the Calculation Agent as the Base Rate last published by the NBK and appearing on the NBK Website at 8:00 pm (Almaty time) on the relevant Floating Rate Reset Date</w:t>
      </w:r>
      <w:r w:rsidR="00CB59F0">
        <w:rPr>
          <w:rFonts w:ascii="Times New Roman" w:hAnsi="Times New Roman" w:cs="Times New Roman"/>
          <w:color w:val="000000"/>
          <w:sz w:val="20"/>
          <w:szCs w:val="20"/>
        </w:rPr>
        <w:t>.</w:t>
      </w:r>
    </w:p>
    <w:p w14:paraId="3ADA7061" w14:textId="1FDA4430" w:rsidR="00D00847" w:rsidRPr="00F34A29" w:rsidRDefault="005B1B83" w:rsidP="006979A8">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sidR="00D00847" w:rsidRPr="00F34A29">
        <w:rPr>
          <w:rFonts w:ascii="Times New Roman" w:hAnsi="Times New Roman" w:cs="Times New Roman"/>
          <w:color w:val="000000"/>
          <w:sz w:val="20"/>
          <w:szCs w:val="20"/>
        </w:rPr>
        <w:t>.</w:t>
      </w:r>
      <w:r w:rsidR="00D00847" w:rsidRPr="00F34A29">
        <w:rPr>
          <w:rFonts w:ascii="Times New Roman" w:hAnsi="Times New Roman" w:cs="Times New Roman"/>
          <w:color w:val="000000"/>
          <w:sz w:val="20"/>
          <w:szCs w:val="20"/>
        </w:rPr>
        <w:tab/>
      </w:r>
      <w:r w:rsidR="00D00847" w:rsidRPr="00F34A29">
        <w:rPr>
          <w:rFonts w:ascii="Times New Roman" w:hAnsi="Times New Roman" w:cs="Times New Roman"/>
          <w:b/>
          <w:color w:val="000000"/>
          <w:sz w:val="20"/>
          <w:szCs w:val="20"/>
        </w:rPr>
        <w:t>Account Details:</w:t>
      </w:r>
    </w:p>
    <w:p w14:paraId="69160A63" w14:textId="77777777" w:rsidR="00D00847" w:rsidRPr="00F34A29" w:rsidRDefault="00D00847" w:rsidP="00D00847">
      <w:pPr>
        <w:tabs>
          <w:tab w:val="left" w:pos="4320"/>
        </w:tabs>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Account Details for </w:t>
      </w:r>
      <w:r w:rsidRPr="00F34A29">
        <w:rPr>
          <w:rFonts w:ascii="Times New Roman" w:hAnsi="Times New Roman" w:cs="Times New Roman"/>
          <w:sz w:val="20"/>
          <w:szCs w:val="20"/>
        </w:rPr>
        <w:t>Party A</w:t>
      </w:r>
      <w:r w:rsidRPr="00F34A29">
        <w:rPr>
          <w:rFonts w:ascii="Times New Roman" w:hAnsi="Times New Roman" w:cs="Times New Roman"/>
          <w:color w:val="000000"/>
          <w:sz w:val="20"/>
          <w:szCs w:val="20"/>
        </w:rPr>
        <w:t>:</w:t>
      </w:r>
      <w:r w:rsidRPr="00F34A29">
        <w:rPr>
          <w:rFonts w:ascii="Times New Roman" w:hAnsi="Times New Roman" w:cs="Times New Roman"/>
          <w:color w:val="000000"/>
          <w:sz w:val="20"/>
          <w:szCs w:val="20"/>
        </w:rPr>
        <w:tab/>
        <w:t>Sta</w:t>
      </w:r>
      <w:r>
        <w:rPr>
          <w:rFonts w:ascii="Times New Roman" w:hAnsi="Times New Roman" w:cs="Times New Roman"/>
          <w:color w:val="000000"/>
          <w:sz w:val="20"/>
          <w:szCs w:val="20"/>
        </w:rPr>
        <w:t>ndard Settlement Instructions.</w:t>
      </w:r>
      <w:r>
        <w:rPr>
          <w:rFonts w:ascii="Times New Roman" w:hAnsi="Times New Roman" w:cs="Times New Roman"/>
          <w:color w:val="000000"/>
          <w:sz w:val="20"/>
          <w:szCs w:val="20"/>
        </w:rPr>
        <w:tab/>
      </w:r>
    </w:p>
    <w:p w14:paraId="0D995DF2" w14:textId="77777777" w:rsidR="00D00847" w:rsidRPr="00F34A29" w:rsidRDefault="00D00847" w:rsidP="00D00847">
      <w:pPr>
        <w:tabs>
          <w:tab w:val="left" w:pos="4320"/>
        </w:tabs>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Account Details for </w:t>
      </w:r>
      <w:r w:rsidRPr="00F34A29">
        <w:rPr>
          <w:rFonts w:ascii="Times New Roman" w:hAnsi="Times New Roman" w:cs="Times New Roman"/>
          <w:sz w:val="20"/>
          <w:szCs w:val="20"/>
        </w:rPr>
        <w:t>Party B</w:t>
      </w:r>
      <w:r w:rsidRPr="00F34A29">
        <w:rPr>
          <w:rFonts w:ascii="Times New Roman" w:hAnsi="Times New Roman" w:cs="Times New Roman"/>
          <w:color w:val="000000"/>
          <w:sz w:val="20"/>
          <w:szCs w:val="20"/>
        </w:rPr>
        <w:t>:</w:t>
      </w:r>
      <w:r w:rsidRPr="00F34A29">
        <w:rPr>
          <w:rFonts w:ascii="Times New Roman" w:hAnsi="Times New Roman" w:cs="Times New Roman"/>
          <w:color w:val="000000"/>
          <w:sz w:val="20"/>
          <w:szCs w:val="20"/>
        </w:rPr>
        <w:tab/>
        <w:t>Standard Settlement Instructions.</w:t>
      </w:r>
      <w:r w:rsidRPr="00F34A29">
        <w:rPr>
          <w:rFonts w:ascii="Times New Roman" w:hAnsi="Times New Roman" w:cs="Times New Roman"/>
          <w:color w:val="000000"/>
          <w:sz w:val="20"/>
          <w:szCs w:val="20"/>
        </w:rPr>
        <w:tab/>
      </w:r>
    </w:p>
    <w:p w14:paraId="4FB5C88E" w14:textId="77777777" w:rsidR="00D00847" w:rsidRPr="00F34A29" w:rsidRDefault="00D00847" w:rsidP="00D00847">
      <w:pPr>
        <w:tabs>
          <w:tab w:val="left" w:pos="4320"/>
        </w:tabs>
        <w:ind w:left="720"/>
        <w:jc w:val="both"/>
        <w:rPr>
          <w:rFonts w:ascii="Times New Roman" w:hAnsi="Times New Roman" w:cs="Times New Roman"/>
          <w:color w:val="000000"/>
          <w:sz w:val="20"/>
          <w:szCs w:val="20"/>
        </w:rPr>
      </w:pPr>
    </w:p>
    <w:p w14:paraId="0BDBDFE8" w14:textId="7ECEEBC0" w:rsidR="00D00847" w:rsidRPr="00F34A29" w:rsidRDefault="0032681A" w:rsidP="00D00847">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sidR="00D00847" w:rsidRPr="00F34A29">
        <w:rPr>
          <w:rFonts w:ascii="Times New Roman" w:hAnsi="Times New Roman" w:cs="Times New Roman"/>
          <w:color w:val="000000"/>
          <w:sz w:val="20"/>
          <w:szCs w:val="20"/>
        </w:rPr>
        <w:t>.</w:t>
      </w:r>
      <w:r w:rsidR="00D00847" w:rsidRPr="00F34A29">
        <w:rPr>
          <w:rFonts w:ascii="Times New Roman" w:hAnsi="Times New Roman" w:cs="Times New Roman"/>
          <w:color w:val="000000"/>
          <w:sz w:val="20"/>
          <w:szCs w:val="20"/>
        </w:rPr>
        <w:tab/>
      </w:r>
      <w:r w:rsidR="00D00847" w:rsidRPr="00F34A29">
        <w:rPr>
          <w:rFonts w:ascii="Times New Roman" w:hAnsi="Times New Roman" w:cs="Times New Roman"/>
          <w:b/>
          <w:color w:val="000000"/>
          <w:sz w:val="20"/>
          <w:szCs w:val="20"/>
        </w:rPr>
        <w:t>Offices:</w:t>
      </w:r>
    </w:p>
    <w:p w14:paraId="0D29857A" w14:textId="08557996" w:rsidR="00D00847" w:rsidRPr="00F34A29" w:rsidRDefault="00D00847" w:rsidP="00D00847">
      <w:pPr>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The Office of </w:t>
      </w:r>
      <w:r w:rsidRPr="00F34A29">
        <w:rPr>
          <w:rFonts w:ascii="Times New Roman" w:hAnsi="Times New Roman" w:cs="Times New Roman"/>
          <w:sz w:val="20"/>
          <w:szCs w:val="20"/>
        </w:rPr>
        <w:t>Party A</w:t>
      </w:r>
      <w:r w:rsidRPr="00F34A29">
        <w:rPr>
          <w:rFonts w:ascii="Times New Roman" w:hAnsi="Times New Roman" w:cs="Times New Roman"/>
          <w:color w:val="000000"/>
          <w:sz w:val="20"/>
          <w:szCs w:val="20"/>
        </w:rPr>
        <w:t xml:space="preserve"> for this Transaction is </w:t>
      </w:r>
      <w:proofErr w:type="gramStart"/>
      <w:r w:rsidR="0032681A">
        <w:rPr>
          <w:rFonts w:ascii="Times New Roman" w:hAnsi="Times New Roman" w:cs="Times New Roman"/>
          <w:color w:val="000000"/>
          <w:sz w:val="20"/>
          <w:szCs w:val="20"/>
        </w:rPr>
        <w:t>[ ]</w:t>
      </w:r>
      <w:proofErr w:type="gramEnd"/>
      <w:r>
        <w:rPr>
          <w:rFonts w:ascii="Times New Roman" w:hAnsi="Times New Roman" w:cs="Times New Roman"/>
          <w:color w:val="000000"/>
          <w:sz w:val="20"/>
          <w:szCs w:val="20"/>
        </w:rPr>
        <w:t>.</w:t>
      </w:r>
    </w:p>
    <w:p w14:paraId="0CF243A9" w14:textId="31F1FAA6" w:rsidR="00D00847" w:rsidRPr="00F34A29" w:rsidRDefault="00D00847" w:rsidP="00D00847">
      <w:pPr>
        <w:ind w:left="720"/>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The Office of </w:t>
      </w:r>
      <w:r w:rsidRPr="00F34A29">
        <w:rPr>
          <w:rFonts w:ascii="Times New Roman" w:hAnsi="Times New Roman" w:cs="Times New Roman"/>
          <w:sz w:val="20"/>
          <w:szCs w:val="20"/>
        </w:rPr>
        <w:t>Party B</w:t>
      </w:r>
      <w:r w:rsidR="004938AF">
        <w:rPr>
          <w:rFonts w:ascii="Times New Roman" w:hAnsi="Times New Roman" w:cs="Times New Roman"/>
          <w:color w:val="000000"/>
          <w:sz w:val="20"/>
          <w:szCs w:val="20"/>
        </w:rPr>
        <w:t xml:space="preserve"> for this Transaction is </w:t>
      </w:r>
      <w:proofErr w:type="gramStart"/>
      <w:r w:rsidR="0032681A">
        <w:rPr>
          <w:rFonts w:ascii="Times New Roman" w:hAnsi="Times New Roman" w:cs="Times New Roman"/>
          <w:color w:val="000000"/>
          <w:sz w:val="20"/>
          <w:szCs w:val="20"/>
        </w:rPr>
        <w:t>[ ]</w:t>
      </w:r>
      <w:proofErr w:type="gramEnd"/>
      <w:r w:rsidRPr="00F34A29">
        <w:rPr>
          <w:rFonts w:ascii="Times New Roman" w:hAnsi="Times New Roman" w:cs="Times New Roman"/>
          <w:color w:val="000000"/>
          <w:sz w:val="20"/>
          <w:szCs w:val="20"/>
        </w:rPr>
        <w:t>.</w:t>
      </w:r>
    </w:p>
    <w:p w14:paraId="1D6AFE63" w14:textId="3496CF19" w:rsidR="00D00847" w:rsidRPr="00F34A29" w:rsidRDefault="00D00847" w:rsidP="00AB2677">
      <w:pPr>
        <w:tabs>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cs="Times New Roman"/>
          <w:color w:val="000000"/>
          <w:sz w:val="20"/>
          <w:szCs w:val="20"/>
        </w:rPr>
      </w:pPr>
    </w:p>
    <w:p w14:paraId="2CADE2D9" w14:textId="77777777" w:rsidR="00D00847" w:rsidRPr="00F34A29" w:rsidRDefault="00D00847" w:rsidP="00D0084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rFonts w:ascii="Times New Roman" w:hAnsi="Times New Roman" w:cs="Times New Roman"/>
          <w:color w:val="000000"/>
          <w:sz w:val="20"/>
          <w:szCs w:val="20"/>
        </w:rPr>
      </w:pPr>
      <w:r w:rsidRPr="00F34A29">
        <w:rPr>
          <w:rFonts w:ascii="Times New Roman" w:hAnsi="Times New Roman" w:cs="Times New Roman"/>
          <w:color w:val="000000"/>
          <w:sz w:val="20"/>
          <w:szCs w:val="20"/>
        </w:rPr>
        <w:t>7.</w:t>
      </w:r>
      <w:r w:rsidRPr="00F34A29">
        <w:rPr>
          <w:rFonts w:ascii="Times New Roman" w:hAnsi="Times New Roman" w:cs="Times New Roman"/>
          <w:color w:val="000000"/>
          <w:sz w:val="20"/>
          <w:szCs w:val="20"/>
        </w:rPr>
        <w:tab/>
      </w:r>
      <w:r w:rsidRPr="00F34A29">
        <w:rPr>
          <w:rFonts w:ascii="Times New Roman" w:hAnsi="Times New Roman" w:cs="Times New Roman"/>
          <w:b/>
          <w:color w:val="000000"/>
          <w:sz w:val="20"/>
          <w:szCs w:val="20"/>
        </w:rPr>
        <w:t>Representations</w:t>
      </w:r>
    </w:p>
    <w:p w14:paraId="25E4723B" w14:textId="77777777" w:rsidR="00D00847" w:rsidRPr="00F34A29" w:rsidRDefault="00D00847" w:rsidP="00D00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Each party will be deemed to represent to the other party on the date on which it </w:t>
      </w:r>
      <w:proofErr w:type="gramStart"/>
      <w:r w:rsidRPr="00F34A29">
        <w:rPr>
          <w:rFonts w:ascii="Times New Roman" w:hAnsi="Times New Roman" w:cs="Times New Roman"/>
          <w:color w:val="000000"/>
          <w:sz w:val="20"/>
          <w:szCs w:val="20"/>
        </w:rPr>
        <w:t>enters into</w:t>
      </w:r>
      <w:proofErr w:type="gramEnd"/>
      <w:r w:rsidRPr="00F34A29">
        <w:rPr>
          <w:rFonts w:ascii="Times New Roman" w:hAnsi="Times New Roman" w:cs="Times New Roman"/>
          <w:color w:val="000000"/>
          <w:sz w:val="20"/>
          <w:szCs w:val="20"/>
        </w:rPr>
        <w:t xml:space="preserve"> this Transaction that (absent a written agreement between the parties that expressly imposes affirmative obligations to the c</w:t>
      </w:r>
      <w:r>
        <w:rPr>
          <w:rFonts w:ascii="Times New Roman" w:hAnsi="Times New Roman" w:cs="Times New Roman"/>
          <w:color w:val="000000"/>
          <w:sz w:val="20"/>
          <w:szCs w:val="20"/>
        </w:rPr>
        <w:t>ontrary for this Transaction</w:t>
      </w:r>
      <w:proofErr w:type="gramStart"/>
      <w:r>
        <w:rPr>
          <w:rFonts w:ascii="Times New Roman" w:hAnsi="Times New Roman" w:cs="Times New Roman"/>
          <w:color w:val="000000"/>
          <w:sz w:val="20"/>
          <w:szCs w:val="20"/>
        </w:rPr>
        <w:t>):-</w:t>
      </w:r>
      <w:proofErr w:type="gramEnd"/>
    </w:p>
    <w:p w14:paraId="47FEFB47" w14:textId="77777777" w:rsidR="00D00847" w:rsidRPr="00F34A29" w:rsidRDefault="00D00847" w:rsidP="00D00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w:t>
      </w:r>
      <w:proofErr w:type="spellStart"/>
      <w:r w:rsidRPr="00F34A29">
        <w:rPr>
          <w:rFonts w:ascii="Times New Roman" w:hAnsi="Times New Roman" w:cs="Times New Roman"/>
          <w:color w:val="000000"/>
          <w:sz w:val="20"/>
          <w:szCs w:val="20"/>
        </w:rPr>
        <w:t>i</w:t>
      </w:r>
      <w:proofErr w:type="spellEnd"/>
      <w:r w:rsidRPr="00F34A29">
        <w:rPr>
          <w:rFonts w:ascii="Times New Roman" w:hAnsi="Times New Roman" w:cs="Times New Roman"/>
          <w:color w:val="000000"/>
          <w:sz w:val="20"/>
          <w:szCs w:val="20"/>
        </w:rPr>
        <w:t xml:space="preserve">) </w:t>
      </w:r>
      <w:r w:rsidRPr="00F34A29">
        <w:rPr>
          <w:rFonts w:ascii="Times New Roman" w:hAnsi="Times New Roman" w:cs="Times New Roman"/>
          <w:b/>
          <w:color w:val="000000"/>
          <w:sz w:val="20"/>
          <w:szCs w:val="20"/>
        </w:rPr>
        <w:t>Non-Reliance.</w:t>
      </w:r>
      <w:r w:rsidRPr="00F34A29">
        <w:rPr>
          <w:rFonts w:ascii="Times New Roman" w:hAnsi="Times New Roman" w:cs="Times New Roman"/>
          <w:color w:val="000000"/>
          <w:sz w:val="20"/>
          <w:szCs w:val="20"/>
        </w:rPr>
        <w:t xml:space="preserve"> It is acting for its own account, and it has made its own independent decisions to </w:t>
      </w:r>
      <w:proofErr w:type="gramStart"/>
      <w:r w:rsidRPr="00F34A29">
        <w:rPr>
          <w:rFonts w:ascii="Times New Roman" w:hAnsi="Times New Roman" w:cs="Times New Roman"/>
          <w:color w:val="000000"/>
          <w:sz w:val="20"/>
          <w:szCs w:val="20"/>
        </w:rPr>
        <w:t>enter into</w:t>
      </w:r>
      <w:proofErr w:type="gramEnd"/>
      <w:r w:rsidRPr="00F34A29">
        <w:rPr>
          <w:rFonts w:ascii="Times New Roman" w:hAnsi="Times New Roman" w:cs="Times New Roman"/>
          <w:color w:val="000000"/>
          <w:sz w:val="20"/>
          <w:szCs w:val="20"/>
        </w:rPr>
        <w:t xml:space="preserve"> this Transaction and as to whether this Transaction is appropriate or proper for it based upon its own judgment and upon advice from such advisers as it has deemed necessary. It is not relying on any communication (written or oral) of the other party as investment advice or as a recommendation to </w:t>
      </w:r>
      <w:proofErr w:type="gramStart"/>
      <w:r w:rsidRPr="00F34A29">
        <w:rPr>
          <w:rFonts w:ascii="Times New Roman" w:hAnsi="Times New Roman" w:cs="Times New Roman"/>
          <w:color w:val="000000"/>
          <w:sz w:val="20"/>
          <w:szCs w:val="20"/>
        </w:rPr>
        <w:t>enter into</w:t>
      </w:r>
      <w:proofErr w:type="gramEnd"/>
      <w:r w:rsidRPr="00F34A29">
        <w:rPr>
          <w:rFonts w:ascii="Times New Roman" w:hAnsi="Times New Roman" w:cs="Times New Roman"/>
          <w:color w:val="000000"/>
          <w:sz w:val="20"/>
          <w:szCs w:val="20"/>
        </w:rPr>
        <w:t xml:space="preserve"> this Transaction; it being understood that information and explanations related to the terms and conditions of this Transaction shall not be considered investment advice or a recommendation to </w:t>
      </w:r>
      <w:proofErr w:type="gramStart"/>
      <w:r w:rsidRPr="00F34A29">
        <w:rPr>
          <w:rFonts w:ascii="Times New Roman" w:hAnsi="Times New Roman" w:cs="Times New Roman"/>
          <w:color w:val="000000"/>
          <w:sz w:val="20"/>
          <w:szCs w:val="20"/>
        </w:rPr>
        <w:t>enter into</w:t>
      </w:r>
      <w:proofErr w:type="gramEnd"/>
      <w:r w:rsidRPr="00F34A29">
        <w:rPr>
          <w:rFonts w:ascii="Times New Roman" w:hAnsi="Times New Roman" w:cs="Times New Roman"/>
          <w:color w:val="000000"/>
          <w:sz w:val="20"/>
          <w:szCs w:val="20"/>
        </w:rPr>
        <w:t xml:space="preserve"> this Transaction. No communication (written or oral) received from the other party shall be deemed to be an assurance or guarantee as to the expecte</w:t>
      </w:r>
      <w:r>
        <w:rPr>
          <w:rFonts w:ascii="Times New Roman" w:hAnsi="Times New Roman" w:cs="Times New Roman"/>
          <w:color w:val="000000"/>
          <w:sz w:val="20"/>
          <w:szCs w:val="20"/>
        </w:rPr>
        <w:t xml:space="preserve">d results </w:t>
      </w:r>
      <w:proofErr w:type="gramStart"/>
      <w:r>
        <w:rPr>
          <w:rFonts w:ascii="Times New Roman" w:hAnsi="Times New Roman" w:cs="Times New Roman"/>
          <w:color w:val="000000"/>
          <w:sz w:val="20"/>
          <w:szCs w:val="20"/>
        </w:rPr>
        <w:t>of  this</w:t>
      </w:r>
      <w:proofErr w:type="gramEnd"/>
      <w:r>
        <w:rPr>
          <w:rFonts w:ascii="Times New Roman" w:hAnsi="Times New Roman" w:cs="Times New Roman"/>
          <w:color w:val="000000"/>
          <w:sz w:val="20"/>
          <w:szCs w:val="20"/>
        </w:rPr>
        <w:t xml:space="preserve"> Transaction.</w:t>
      </w:r>
    </w:p>
    <w:p w14:paraId="1BFAB554" w14:textId="77777777" w:rsidR="00D00847" w:rsidRPr="00F34A29" w:rsidRDefault="00D00847" w:rsidP="00D008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(ii) </w:t>
      </w:r>
      <w:r w:rsidRPr="00F34A29">
        <w:rPr>
          <w:rFonts w:ascii="Times New Roman" w:hAnsi="Times New Roman" w:cs="Times New Roman"/>
          <w:b/>
          <w:color w:val="000000"/>
          <w:sz w:val="20"/>
          <w:szCs w:val="20"/>
        </w:rPr>
        <w:t xml:space="preserve">Assessment and </w:t>
      </w:r>
      <w:proofErr w:type="gramStart"/>
      <w:r w:rsidRPr="00F34A29">
        <w:rPr>
          <w:rFonts w:ascii="Times New Roman" w:hAnsi="Times New Roman" w:cs="Times New Roman"/>
          <w:b/>
          <w:color w:val="000000"/>
          <w:sz w:val="20"/>
          <w:szCs w:val="20"/>
        </w:rPr>
        <w:t>Understanding</w:t>
      </w:r>
      <w:proofErr w:type="gramEnd"/>
      <w:r w:rsidRPr="00F34A29">
        <w:rPr>
          <w:rFonts w:ascii="Times New Roman" w:hAnsi="Times New Roman" w:cs="Times New Roman"/>
          <w:b/>
          <w:color w:val="000000"/>
          <w:sz w:val="20"/>
          <w:szCs w:val="20"/>
        </w:rPr>
        <w:t>.</w:t>
      </w:r>
      <w:r w:rsidRPr="00F34A29">
        <w:rPr>
          <w:rFonts w:ascii="Times New Roman" w:hAnsi="Times New Roman" w:cs="Times New Roman"/>
          <w:color w:val="000000"/>
          <w:sz w:val="20"/>
          <w:szCs w:val="20"/>
        </w:rPr>
        <w:t xml:space="preserve"> It </w:t>
      </w:r>
      <w:proofErr w:type="gramStart"/>
      <w:r w:rsidRPr="00F34A29">
        <w:rPr>
          <w:rFonts w:ascii="Times New Roman" w:hAnsi="Times New Roman" w:cs="Times New Roman"/>
          <w:color w:val="000000"/>
          <w:sz w:val="20"/>
          <w:szCs w:val="20"/>
        </w:rPr>
        <w:t>is capable of assessing</w:t>
      </w:r>
      <w:proofErr w:type="gramEnd"/>
      <w:r w:rsidRPr="00F34A29">
        <w:rPr>
          <w:rFonts w:ascii="Times New Roman" w:hAnsi="Times New Roman" w:cs="Times New Roman"/>
          <w:color w:val="000000"/>
          <w:sz w:val="20"/>
          <w:szCs w:val="20"/>
        </w:rPr>
        <w:t xml:space="preserve"> the merits of and understanding (on its own behalf or through independent professional advice), and understands and accepts, the terms, conditions and risks of this Transaction. It is also capable of assuming, and assumes, the risks of this Transaction.</w:t>
      </w:r>
    </w:p>
    <w:p w14:paraId="7C0B0585" w14:textId="77777777" w:rsidR="00D00847" w:rsidRPr="00F34A29" w:rsidRDefault="00D00847" w:rsidP="00D00847">
      <w:pPr>
        <w:tabs>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jc w:val="both"/>
        <w:rPr>
          <w:rFonts w:ascii="Times New Roman" w:hAnsi="Times New Roman" w:cs="Times New Roman"/>
          <w:color w:val="000000"/>
          <w:sz w:val="20"/>
          <w:szCs w:val="20"/>
        </w:rPr>
      </w:pPr>
      <w:r w:rsidRPr="00F34A29">
        <w:rPr>
          <w:rFonts w:ascii="Times New Roman" w:hAnsi="Times New Roman" w:cs="Times New Roman"/>
          <w:color w:val="000000"/>
          <w:sz w:val="20"/>
          <w:szCs w:val="20"/>
        </w:rPr>
        <w:t xml:space="preserve">(iii) </w:t>
      </w:r>
      <w:r w:rsidRPr="00F34A29">
        <w:rPr>
          <w:rFonts w:ascii="Times New Roman" w:hAnsi="Times New Roman" w:cs="Times New Roman"/>
          <w:b/>
          <w:color w:val="000000"/>
          <w:sz w:val="20"/>
          <w:szCs w:val="20"/>
        </w:rPr>
        <w:t>Status of Parties.</w:t>
      </w:r>
      <w:r w:rsidRPr="00F34A29">
        <w:rPr>
          <w:rFonts w:ascii="Times New Roman" w:hAnsi="Times New Roman" w:cs="Times New Roman"/>
          <w:color w:val="000000"/>
          <w:sz w:val="20"/>
          <w:szCs w:val="20"/>
        </w:rPr>
        <w:t xml:space="preserve"> The other party is not acting as a fiduciary for, or an adviser to it in respect of this Transaction.</w:t>
      </w:r>
    </w:p>
    <w:p w14:paraId="4DDFAD63" w14:textId="77777777" w:rsidR="00D00847" w:rsidRPr="00F34A29" w:rsidRDefault="00D00847" w:rsidP="00D00847">
      <w:pPr>
        <w:tabs>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jc w:val="both"/>
        <w:rPr>
          <w:rFonts w:ascii="Times New Roman" w:hAnsi="Times New Roman" w:cs="Times New Roman"/>
          <w:color w:val="000000"/>
          <w:sz w:val="20"/>
          <w:szCs w:val="20"/>
        </w:rPr>
      </w:pPr>
      <w:bookmarkStart w:id="8" w:name="_Hlk188019605"/>
    </w:p>
    <w:p w14:paraId="2E2D6B61" w14:textId="2B297A8A" w:rsidR="00AB2677" w:rsidRPr="00AB2677" w:rsidRDefault="00AB2677" w:rsidP="00AB2677">
      <w:pPr>
        <w:pStyle w:val="Default"/>
        <w:rPr>
          <w:rFonts w:eastAsiaTheme="minorHAnsi"/>
          <w:sz w:val="20"/>
          <w:szCs w:val="20"/>
          <w:lang w:eastAsia="en-US"/>
        </w:rPr>
      </w:pPr>
      <w:r w:rsidRPr="00AB2677">
        <w:rPr>
          <w:rFonts w:eastAsiaTheme="minorHAnsi"/>
          <w:sz w:val="20"/>
          <w:szCs w:val="20"/>
          <w:lang w:eastAsia="en-US"/>
        </w:rPr>
        <w:t xml:space="preserve">Please confirm that the foregoing correctly sets forth the terms of our agreement by executing the copy of this Confirmation enclosed for that purpose and returning it to us or by sending to us a confirmation substantially </w:t>
      </w:r>
      <w:proofErr w:type="gramStart"/>
      <w:r w:rsidRPr="00AB2677">
        <w:rPr>
          <w:rFonts w:eastAsiaTheme="minorHAnsi"/>
          <w:sz w:val="20"/>
          <w:szCs w:val="20"/>
          <w:lang w:eastAsia="en-US"/>
        </w:rPr>
        <w:t>similar to</w:t>
      </w:r>
      <w:proofErr w:type="gramEnd"/>
      <w:r w:rsidRPr="00AB2677">
        <w:rPr>
          <w:rFonts w:eastAsiaTheme="minorHAnsi"/>
          <w:sz w:val="20"/>
          <w:szCs w:val="20"/>
          <w:lang w:eastAsia="en-US"/>
        </w:rPr>
        <w:t xml:space="preserve"> this Confirmation, which confirmation sets forth the material terms of the Transaction to which this Confirmation relates and indicates your agreement to those terms. </w:t>
      </w:r>
    </w:p>
    <w:p w14:paraId="5291B30E" w14:textId="77777777" w:rsidR="00AB2677" w:rsidRDefault="00AB2677" w:rsidP="00AB2677">
      <w:pPr>
        <w:autoSpaceDE w:val="0"/>
        <w:autoSpaceDN w:val="0"/>
        <w:adjustRightInd w:val="0"/>
        <w:spacing w:after="0" w:line="240" w:lineRule="auto"/>
        <w:rPr>
          <w:rFonts w:ascii="Times New Roman" w:hAnsi="Times New Roman" w:cs="Times New Roman"/>
          <w:color w:val="000000"/>
          <w:sz w:val="20"/>
          <w:szCs w:val="20"/>
        </w:rPr>
      </w:pPr>
    </w:p>
    <w:p w14:paraId="25A45677" w14:textId="77777777" w:rsidR="00AB2677" w:rsidRDefault="00AB2677" w:rsidP="00AB2677">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Yours faithfully, </w:t>
      </w:r>
    </w:p>
    <w:p w14:paraId="3BBB918C" w14:textId="77777777" w:rsidR="00AB2677" w:rsidRDefault="00AB2677" w:rsidP="00AB2677">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lastRenderedPageBreak/>
        <w:t xml:space="preserve">[PARTY A] </w:t>
      </w:r>
    </w:p>
    <w:p w14:paraId="7425FBD4" w14:textId="77777777" w:rsidR="00AB2677" w:rsidRDefault="00AB2677" w:rsidP="00AB2677">
      <w:pPr>
        <w:autoSpaceDE w:val="0"/>
        <w:autoSpaceDN w:val="0"/>
        <w:adjustRightInd w:val="0"/>
        <w:spacing w:after="0" w:line="240" w:lineRule="auto"/>
        <w:ind w:left="5760" w:firstLine="720"/>
        <w:rPr>
          <w:rFonts w:ascii="Times New Roman" w:hAnsi="Times New Roman" w:cs="Times New Roman"/>
          <w:color w:val="000000"/>
          <w:sz w:val="20"/>
          <w:szCs w:val="20"/>
        </w:rPr>
      </w:pPr>
    </w:p>
    <w:p w14:paraId="12826B30" w14:textId="5AC3881E" w:rsidR="00AB2677" w:rsidRDefault="00AB2677" w:rsidP="00AB2677">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By: </w:t>
      </w:r>
      <w:r>
        <w:rPr>
          <w:rFonts w:ascii="Times New Roman" w:hAnsi="Times New Roman" w:cs="Times New Roman"/>
          <w:color w:val="000000"/>
          <w:sz w:val="20"/>
          <w:szCs w:val="20"/>
        </w:rPr>
        <w:t>______________________</w:t>
      </w:r>
    </w:p>
    <w:p w14:paraId="388C4B8E" w14:textId="77777777" w:rsidR="00AB2677" w:rsidRDefault="00AB2677" w:rsidP="00AB2677">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Name: </w:t>
      </w:r>
    </w:p>
    <w:p w14:paraId="1BAE7C28" w14:textId="28C8C077" w:rsidR="00AB2677" w:rsidRPr="00AB2677" w:rsidRDefault="00AB2677" w:rsidP="00AB2677">
      <w:pPr>
        <w:autoSpaceDE w:val="0"/>
        <w:autoSpaceDN w:val="0"/>
        <w:adjustRightInd w:val="0"/>
        <w:spacing w:after="0" w:line="240" w:lineRule="auto"/>
        <w:ind w:left="5760" w:firstLine="720"/>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Title: </w:t>
      </w:r>
    </w:p>
    <w:p w14:paraId="72A3D331" w14:textId="77777777" w:rsidR="00AB2677" w:rsidRDefault="00AB2677" w:rsidP="00AB2677">
      <w:pPr>
        <w:autoSpaceDE w:val="0"/>
        <w:autoSpaceDN w:val="0"/>
        <w:adjustRightInd w:val="0"/>
        <w:spacing w:after="0" w:line="240" w:lineRule="auto"/>
        <w:rPr>
          <w:rFonts w:ascii="Times New Roman" w:hAnsi="Times New Roman" w:cs="Times New Roman"/>
          <w:color w:val="000000"/>
          <w:sz w:val="20"/>
          <w:szCs w:val="20"/>
        </w:rPr>
      </w:pPr>
    </w:p>
    <w:p w14:paraId="0FDDD58A" w14:textId="701BB962" w:rsidR="00AB2677" w:rsidRPr="00AB2677" w:rsidRDefault="00AB2677" w:rsidP="00AB2677">
      <w:pPr>
        <w:autoSpaceDE w:val="0"/>
        <w:autoSpaceDN w:val="0"/>
        <w:adjustRightInd w:val="0"/>
        <w:spacing w:after="0" w:line="240" w:lineRule="auto"/>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Confirmed as of the date first above written: </w:t>
      </w:r>
    </w:p>
    <w:p w14:paraId="4C55BBCA" w14:textId="77777777" w:rsidR="00AB2677" w:rsidRPr="00AB2677" w:rsidRDefault="00AB2677" w:rsidP="00AB2677">
      <w:pPr>
        <w:autoSpaceDE w:val="0"/>
        <w:autoSpaceDN w:val="0"/>
        <w:adjustRightInd w:val="0"/>
        <w:spacing w:after="0" w:line="240" w:lineRule="auto"/>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[PARTY B] </w:t>
      </w:r>
    </w:p>
    <w:p w14:paraId="1E76162A" w14:textId="77777777" w:rsidR="00AB2677" w:rsidRDefault="00AB2677" w:rsidP="00AB2677">
      <w:pPr>
        <w:autoSpaceDE w:val="0"/>
        <w:autoSpaceDN w:val="0"/>
        <w:adjustRightInd w:val="0"/>
        <w:spacing w:after="0" w:line="240" w:lineRule="auto"/>
        <w:rPr>
          <w:rFonts w:ascii="Times New Roman" w:hAnsi="Times New Roman" w:cs="Times New Roman"/>
          <w:color w:val="000000"/>
          <w:sz w:val="20"/>
          <w:szCs w:val="20"/>
        </w:rPr>
      </w:pPr>
    </w:p>
    <w:p w14:paraId="1012181E" w14:textId="19E15C78" w:rsidR="00AB2677" w:rsidRPr="00AB2677" w:rsidRDefault="00AB2677" w:rsidP="00AB2677">
      <w:pPr>
        <w:autoSpaceDE w:val="0"/>
        <w:autoSpaceDN w:val="0"/>
        <w:adjustRightInd w:val="0"/>
        <w:spacing w:after="0" w:line="240" w:lineRule="auto"/>
        <w:rPr>
          <w:rFonts w:ascii="Times New Roman" w:hAnsi="Times New Roman" w:cs="Times New Roman"/>
          <w:color w:val="000000"/>
          <w:sz w:val="20"/>
          <w:szCs w:val="20"/>
        </w:rPr>
      </w:pPr>
      <w:proofErr w:type="gramStart"/>
      <w:r w:rsidRPr="00AB2677">
        <w:rPr>
          <w:rFonts w:ascii="Times New Roman" w:hAnsi="Times New Roman" w:cs="Times New Roman"/>
          <w:color w:val="000000"/>
          <w:sz w:val="20"/>
          <w:szCs w:val="20"/>
        </w:rPr>
        <w:t>By:</w:t>
      </w:r>
      <w:r>
        <w:rPr>
          <w:rFonts w:ascii="Times New Roman" w:hAnsi="Times New Roman" w:cs="Times New Roman"/>
          <w:color w:val="000000"/>
          <w:sz w:val="20"/>
          <w:szCs w:val="20"/>
        </w:rPr>
        <w:t>_</w:t>
      </w:r>
      <w:proofErr w:type="gramEnd"/>
      <w:r>
        <w:rPr>
          <w:rFonts w:ascii="Times New Roman" w:hAnsi="Times New Roman" w:cs="Times New Roman"/>
          <w:color w:val="000000"/>
          <w:sz w:val="20"/>
          <w:szCs w:val="20"/>
        </w:rPr>
        <w:t>_______________________________</w:t>
      </w:r>
    </w:p>
    <w:p w14:paraId="2133E14F" w14:textId="77777777" w:rsidR="00AB2677" w:rsidRPr="00AB2677" w:rsidRDefault="00AB2677" w:rsidP="00AB2677">
      <w:pPr>
        <w:autoSpaceDE w:val="0"/>
        <w:autoSpaceDN w:val="0"/>
        <w:adjustRightInd w:val="0"/>
        <w:spacing w:after="0" w:line="240" w:lineRule="auto"/>
        <w:rPr>
          <w:rFonts w:ascii="Times New Roman" w:hAnsi="Times New Roman" w:cs="Times New Roman"/>
          <w:color w:val="000000"/>
          <w:sz w:val="20"/>
          <w:szCs w:val="20"/>
        </w:rPr>
      </w:pPr>
      <w:r w:rsidRPr="00AB2677">
        <w:rPr>
          <w:rFonts w:ascii="Times New Roman" w:hAnsi="Times New Roman" w:cs="Times New Roman"/>
          <w:color w:val="000000"/>
          <w:sz w:val="20"/>
          <w:szCs w:val="20"/>
        </w:rPr>
        <w:t xml:space="preserve">Name: </w:t>
      </w:r>
    </w:p>
    <w:p w14:paraId="1C2FEB84" w14:textId="5E576632" w:rsidR="00D3198F" w:rsidRDefault="00AB2677" w:rsidP="00AB2677">
      <w:pPr>
        <w:tabs>
          <w:tab w:val="left" w:pos="108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pPr>
      <w:r w:rsidRPr="00AB2677">
        <w:rPr>
          <w:rFonts w:ascii="Times New Roman" w:hAnsi="Times New Roman" w:cs="Times New Roman"/>
          <w:color w:val="000000"/>
          <w:sz w:val="20"/>
          <w:szCs w:val="20"/>
        </w:rPr>
        <w:t>Title:</w:t>
      </w:r>
      <w:bookmarkEnd w:id="8"/>
    </w:p>
    <w:sectPr w:rsidR="00D3198F" w:rsidSect="0020282E">
      <w:headerReference w:type="even" r:id="rId11"/>
      <w:headerReference w:type="default" r:id="rId12"/>
      <w:footerReference w:type="even"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4F87" w14:textId="77777777" w:rsidR="004F723E" w:rsidRDefault="004F723E" w:rsidP="00D00847">
      <w:pPr>
        <w:spacing w:after="0" w:line="240" w:lineRule="auto"/>
      </w:pPr>
      <w:r>
        <w:separator/>
      </w:r>
    </w:p>
  </w:endnote>
  <w:endnote w:type="continuationSeparator" w:id="0">
    <w:p w14:paraId="62C21E10" w14:textId="77777777" w:rsidR="004F723E" w:rsidRDefault="004F723E" w:rsidP="00D00847">
      <w:pPr>
        <w:spacing w:after="0" w:line="240" w:lineRule="auto"/>
      </w:pPr>
      <w:r>
        <w:continuationSeparator/>
      </w:r>
    </w:p>
  </w:endnote>
  <w:endnote w:type="continuationNotice" w:id="1">
    <w:p w14:paraId="70684007" w14:textId="77777777" w:rsidR="004F723E" w:rsidRDefault="004F7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31DD" w14:textId="330F2519" w:rsidR="00B61F96" w:rsidRDefault="00B61F96">
    <w:pPr>
      <w:pStyle w:val="a5"/>
    </w:pPr>
    <w:r>
      <w:rPr>
        <w:noProof/>
        <w:lang w:val="ru-RU" w:eastAsia="ru-RU"/>
      </w:rPr>
      <mc:AlternateContent>
        <mc:Choice Requires="wps">
          <w:drawing>
            <wp:anchor distT="0" distB="0" distL="0" distR="0" simplePos="0" relativeHeight="251658244" behindDoc="0" locked="0" layoutInCell="1" allowOverlap="1" wp14:anchorId="670F0BB8" wp14:editId="2D29B8C8">
              <wp:simplePos x="635" y="635"/>
              <wp:positionH relativeFrom="page">
                <wp:align>center</wp:align>
              </wp:positionH>
              <wp:positionV relativeFrom="page">
                <wp:align>bottom</wp:align>
              </wp:positionV>
              <wp:extent cx="443865" cy="443865"/>
              <wp:effectExtent l="0" t="0" r="14605" b="0"/>
              <wp:wrapNone/>
              <wp:docPr id="2030836772"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45214" w14:textId="432D8D3A" w:rsidR="00B61F96" w:rsidRPr="00B61F96" w:rsidRDefault="00B61F96" w:rsidP="00B61F96">
                          <w:pPr>
                            <w:spacing w:after="0"/>
                            <w:rPr>
                              <w:rFonts w:ascii="Calibri" w:eastAsia="Calibri" w:hAnsi="Calibri" w:cs="Calibri"/>
                              <w:noProof/>
                              <w:color w:val="0000FF"/>
                              <w:sz w:val="20"/>
                              <w:szCs w:val="20"/>
                            </w:rPr>
                          </w:pPr>
                          <w:r w:rsidRPr="00B61F96">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F0BB8" id="_x0000_t202" coordsize="21600,21600" o:spt="202" path="m,l,21600r21600,l21600,xe">
              <v:stroke joinstyle="miter"/>
              <v:path gradientshapeok="t" o:connecttype="rect"/>
            </v:shapetype>
            <v:shape id="Text Box 5" o:spid="_x0000_s1027" type="#_x0000_t202" alt="OFFICIAL USE"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5E45214" w14:textId="432D8D3A" w:rsidR="00B61F96" w:rsidRPr="00B61F96" w:rsidRDefault="00B61F96" w:rsidP="00B61F96">
                    <w:pPr>
                      <w:spacing w:after="0"/>
                      <w:rPr>
                        <w:rFonts w:ascii="Calibri" w:eastAsia="Calibri" w:hAnsi="Calibri" w:cs="Calibri"/>
                        <w:noProof/>
                        <w:color w:val="0000FF"/>
                        <w:sz w:val="20"/>
                        <w:szCs w:val="20"/>
                      </w:rPr>
                    </w:pPr>
                    <w:r w:rsidRPr="00B61F96">
                      <w:rPr>
                        <w:rFonts w:ascii="Calibri" w:eastAsia="Calibri" w:hAnsi="Calibri" w:cs="Calibri"/>
                        <w:noProof/>
                        <w:color w:val="0000FF"/>
                        <w:sz w:val="20"/>
                        <w:szCs w:val="20"/>
                      </w:rPr>
                      <w:t>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4B54" w14:textId="2E33F268" w:rsidR="00D00847" w:rsidRDefault="00D00847">
    <w:pPr>
      <w:pStyle w:val="a5"/>
      <w:jc w:val="center"/>
      <w:rPr>
        <w:noProof/>
      </w:rPr>
    </w:pPr>
  </w:p>
  <w:sdt>
    <w:sdtPr>
      <w:id w:val="-504359819"/>
      <w:docPartObj>
        <w:docPartGallery w:val="Page Numbers (Bottom of Page)"/>
        <w:docPartUnique/>
      </w:docPartObj>
    </w:sdtPr>
    <w:sdtEndPr>
      <w:rPr>
        <w:noProof/>
      </w:rPr>
    </w:sdtEndPr>
    <w:sdtContent>
      <w:p w14:paraId="39A76531" w14:textId="7013C2AA" w:rsidR="00D00847" w:rsidRDefault="00D00847">
        <w:pPr>
          <w:pStyle w:val="a5"/>
          <w:jc w:val="center"/>
          <w:rPr>
            <w:noProof/>
          </w:rPr>
        </w:pPr>
        <w:r>
          <w:fldChar w:fldCharType="begin"/>
        </w:r>
        <w:r>
          <w:instrText xml:space="preserve"> PAGE   \* MERGEFORMAT </w:instrText>
        </w:r>
        <w:r>
          <w:fldChar w:fldCharType="separate"/>
        </w:r>
        <w:r w:rsidR="00AC149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D4BE" w14:textId="77777777" w:rsidR="004F723E" w:rsidRDefault="004F723E" w:rsidP="00D00847">
      <w:pPr>
        <w:spacing w:after="0" w:line="240" w:lineRule="auto"/>
      </w:pPr>
      <w:r>
        <w:separator/>
      </w:r>
    </w:p>
  </w:footnote>
  <w:footnote w:type="continuationSeparator" w:id="0">
    <w:p w14:paraId="25C15F9F" w14:textId="77777777" w:rsidR="004F723E" w:rsidRDefault="004F723E" w:rsidP="00D00847">
      <w:pPr>
        <w:spacing w:after="0" w:line="240" w:lineRule="auto"/>
      </w:pPr>
      <w:r>
        <w:continuationSeparator/>
      </w:r>
    </w:p>
  </w:footnote>
  <w:footnote w:type="continuationNotice" w:id="1">
    <w:p w14:paraId="2DBA480E" w14:textId="77777777" w:rsidR="004F723E" w:rsidRDefault="004F723E">
      <w:pPr>
        <w:spacing w:after="0" w:line="240" w:lineRule="auto"/>
      </w:pPr>
    </w:p>
  </w:footnote>
  <w:footnote w:id="2">
    <w:p w14:paraId="0F3EAF8A" w14:textId="5DBD49C1" w:rsidR="00AC7F43" w:rsidRDefault="00AC7F43">
      <w:pPr>
        <w:pStyle w:val="af"/>
      </w:pPr>
      <w:r w:rsidRPr="00AC7F43">
        <w:rPr>
          <w:rStyle w:val="af1"/>
          <w:rFonts w:ascii="Times New Roman" w:hAnsi="Times New Roman" w:cs="Times New Roman"/>
          <w:sz w:val="16"/>
          <w:szCs w:val="16"/>
        </w:rPr>
        <w:footnoteRef/>
      </w:r>
      <w:r w:rsidRPr="00AC7F43">
        <w:rPr>
          <w:rFonts w:ascii="Times New Roman" w:hAnsi="Times New Roman" w:cs="Times New Roman"/>
          <w:sz w:val="16"/>
          <w:szCs w:val="16"/>
        </w:rPr>
        <w:t xml:space="preserve"> </w:t>
      </w:r>
      <w:r w:rsidRPr="00AC7F43">
        <w:rPr>
          <w:rFonts w:ascii="Times New Roman" w:hAnsi="Times New Roman" w:cs="Times New Roman"/>
          <w:sz w:val="18"/>
          <w:szCs w:val="18"/>
        </w:rPr>
        <w:t>Include the appropriate Business Day Convention if the parties wish to provide that the Termination Date will be adjusted in accordance with a Business Day Convention (and, accordingly, that the final Calculation Period will be shortened or lengthened).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5974" w14:textId="00307672" w:rsidR="00B61F96" w:rsidRDefault="00B61F96">
    <w:pPr>
      <w:pStyle w:val="a3"/>
    </w:pPr>
    <w:r>
      <w:rPr>
        <w:noProof/>
        <w:lang w:val="ru-RU" w:eastAsia="ru-RU"/>
      </w:rPr>
      <mc:AlternateContent>
        <mc:Choice Requires="wps">
          <w:drawing>
            <wp:anchor distT="0" distB="0" distL="0" distR="0" simplePos="0" relativeHeight="251658243" behindDoc="0" locked="0" layoutInCell="1" allowOverlap="1" wp14:anchorId="5E3CAFA8" wp14:editId="5486F168">
              <wp:simplePos x="635" y="635"/>
              <wp:positionH relativeFrom="page">
                <wp:align>center</wp:align>
              </wp:positionH>
              <wp:positionV relativeFrom="page">
                <wp:align>top</wp:align>
              </wp:positionV>
              <wp:extent cx="443865" cy="443865"/>
              <wp:effectExtent l="0" t="0" r="14605" b="4445"/>
              <wp:wrapNone/>
              <wp:docPr id="1329236128"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B32CF2" w14:textId="61D02417" w:rsidR="00B61F96" w:rsidRPr="00B61F96" w:rsidRDefault="00B61F96" w:rsidP="00B61F96">
                          <w:pPr>
                            <w:spacing w:after="0"/>
                            <w:rPr>
                              <w:rFonts w:ascii="Calibri" w:eastAsia="Calibri" w:hAnsi="Calibri" w:cs="Calibri"/>
                              <w:noProof/>
                              <w:color w:val="0000FF"/>
                              <w:sz w:val="20"/>
                              <w:szCs w:val="20"/>
                            </w:rPr>
                          </w:pPr>
                          <w:r w:rsidRPr="00B61F96">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CAFA8" id="_x0000_t202" coordsize="21600,21600" o:spt="202" path="m,l,21600r21600,l21600,xe">
              <v:stroke joinstyle="miter"/>
              <v:path gradientshapeok="t" o:connecttype="rect"/>
            </v:shapetype>
            <v:shape id="Text Box 2" o:spid="_x0000_s1026" type="#_x0000_t202" alt="OFFICIAL US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B32CF2" w14:textId="61D02417" w:rsidR="00B61F96" w:rsidRPr="00B61F96" w:rsidRDefault="00B61F96" w:rsidP="00B61F96">
                    <w:pPr>
                      <w:spacing w:after="0"/>
                      <w:rPr>
                        <w:rFonts w:ascii="Calibri" w:eastAsia="Calibri" w:hAnsi="Calibri" w:cs="Calibri"/>
                        <w:noProof/>
                        <w:color w:val="0000FF"/>
                        <w:sz w:val="20"/>
                        <w:szCs w:val="20"/>
                      </w:rPr>
                    </w:pPr>
                    <w:r w:rsidRPr="00B61F96">
                      <w:rPr>
                        <w:rFonts w:ascii="Calibri" w:eastAsia="Calibri" w:hAnsi="Calibri" w:cs="Calibri"/>
                        <w:noProof/>
                        <w:color w:val="0000FF"/>
                        <w:sz w:val="20"/>
                        <w:szCs w:val="20"/>
                      </w:rPr>
                      <w:t>OFFICIAL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D32A" w14:textId="55D49FFE" w:rsidR="00D00847" w:rsidRPr="00D00847" w:rsidRDefault="00D00847" w:rsidP="00D00847">
    <w:pPr>
      <w:pStyle w:val="a3"/>
      <w:jc w:val="center"/>
      <w:rPr>
        <w:rFonts w:ascii="Times New Roman" w:hAnsi="Times New Roman" w:cs="Times New Roman"/>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3F2C" w14:textId="77777777" w:rsidR="0020282E" w:rsidRPr="0020282E" w:rsidRDefault="0020282E" w:rsidP="0020282E">
    <w:pPr>
      <w:pStyle w:val="a3"/>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3D0E"/>
    <w:multiLevelType w:val="hybridMultilevel"/>
    <w:tmpl w:val="6CF4454E"/>
    <w:lvl w:ilvl="0" w:tplc="5094B72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9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847"/>
    <w:rsid w:val="00000A40"/>
    <w:rsid w:val="000555A3"/>
    <w:rsid w:val="000B78D7"/>
    <w:rsid w:val="000C1FF3"/>
    <w:rsid w:val="000C38AE"/>
    <w:rsid w:val="000F7C40"/>
    <w:rsid w:val="00152005"/>
    <w:rsid w:val="0020282E"/>
    <w:rsid w:val="00282A9B"/>
    <w:rsid w:val="00294EBB"/>
    <w:rsid w:val="002B21CE"/>
    <w:rsid w:val="002C1C14"/>
    <w:rsid w:val="0032681A"/>
    <w:rsid w:val="00385AAB"/>
    <w:rsid w:val="003973FC"/>
    <w:rsid w:val="00442C1A"/>
    <w:rsid w:val="004938AF"/>
    <w:rsid w:val="004F723E"/>
    <w:rsid w:val="00523174"/>
    <w:rsid w:val="005A0990"/>
    <w:rsid w:val="005B1B83"/>
    <w:rsid w:val="005B252A"/>
    <w:rsid w:val="005C7961"/>
    <w:rsid w:val="00614706"/>
    <w:rsid w:val="00690513"/>
    <w:rsid w:val="006979A8"/>
    <w:rsid w:val="006B3907"/>
    <w:rsid w:val="006B65DE"/>
    <w:rsid w:val="006C20EF"/>
    <w:rsid w:val="00725FDD"/>
    <w:rsid w:val="00762B0F"/>
    <w:rsid w:val="00781FC0"/>
    <w:rsid w:val="007E071C"/>
    <w:rsid w:val="008132C0"/>
    <w:rsid w:val="008148E3"/>
    <w:rsid w:val="008421DA"/>
    <w:rsid w:val="00854E8D"/>
    <w:rsid w:val="00862669"/>
    <w:rsid w:val="008B6AE8"/>
    <w:rsid w:val="008D0DD1"/>
    <w:rsid w:val="008E5C4E"/>
    <w:rsid w:val="00911983"/>
    <w:rsid w:val="00976BEC"/>
    <w:rsid w:val="009E4ED0"/>
    <w:rsid w:val="00A62103"/>
    <w:rsid w:val="00A63AA3"/>
    <w:rsid w:val="00A63E66"/>
    <w:rsid w:val="00AB1B51"/>
    <w:rsid w:val="00AB2677"/>
    <w:rsid w:val="00AC1493"/>
    <w:rsid w:val="00AC7F43"/>
    <w:rsid w:val="00AE4EBA"/>
    <w:rsid w:val="00B43B71"/>
    <w:rsid w:val="00B61F96"/>
    <w:rsid w:val="00BF3EBD"/>
    <w:rsid w:val="00C22FF6"/>
    <w:rsid w:val="00C5699B"/>
    <w:rsid w:val="00C64F8A"/>
    <w:rsid w:val="00CB59F0"/>
    <w:rsid w:val="00D00847"/>
    <w:rsid w:val="00D03038"/>
    <w:rsid w:val="00D3198F"/>
    <w:rsid w:val="00D42EAD"/>
    <w:rsid w:val="00D443DE"/>
    <w:rsid w:val="00D6254E"/>
    <w:rsid w:val="00DB40C2"/>
    <w:rsid w:val="00E20502"/>
    <w:rsid w:val="00E601D3"/>
    <w:rsid w:val="00EC40DF"/>
    <w:rsid w:val="00EF7DEC"/>
    <w:rsid w:val="00F01375"/>
    <w:rsid w:val="00F5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6848A"/>
  <w15:chartTrackingRefBased/>
  <w15:docId w15:val="{9B50A975-FF6F-4BBB-8D3B-A412FE46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2F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847"/>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D00847"/>
  </w:style>
  <w:style w:type="paragraph" w:styleId="a5">
    <w:name w:val="footer"/>
    <w:basedOn w:val="a"/>
    <w:link w:val="a6"/>
    <w:uiPriority w:val="99"/>
    <w:unhideWhenUsed/>
    <w:rsid w:val="00D00847"/>
    <w:pPr>
      <w:tabs>
        <w:tab w:val="center" w:pos="4513"/>
        <w:tab w:val="right" w:pos="9026"/>
      </w:tabs>
      <w:spacing w:after="0" w:line="240" w:lineRule="auto"/>
    </w:pPr>
  </w:style>
  <w:style w:type="character" w:customStyle="1" w:styleId="a6">
    <w:name w:val="Нижний колонтитул Знак"/>
    <w:basedOn w:val="a0"/>
    <w:link w:val="a5"/>
    <w:uiPriority w:val="99"/>
    <w:rsid w:val="00D00847"/>
  </w:style>
  <w:style w:type="paragraph" w:customStyle="1" w:styleId="11">
    <w:name w:val="1"/>
    <w:basedOn w:val="a"/>
    <w:rsid w:val="00D00847"/>
    <w:pPr>
      <w:spacing w:after="0" w:line="240" w:lineRule="auto"/>
      <w:ind w:left="720"/>
    </w:pPr>
    <w:rPr>
      <w:rFonts w:ascii="Times New Roman" w:eastAsia="Times New Roman" w:hAnsi="Times New Roman" w:cs="Times New Roman"/>
      <w:szCs w:val="20"/>
      <w:lang w:val="en-US" w:eastAsia="en-AU"/>
    </w:rPr>
  </w:style>
  <w:style w:type="paragraph" w:styleId="a7">
    <w:name w:val="Body Text Indent"/>
    <w:basedOn w:val="a"/>
    <w:link w:val="a8"/>
    <w:rsid w:val="00D00847"/>
    <w:pPr>
      <w:spacing w:after="0" w:line="240" w:lineRule="auto"/>
      <w:ind w:left="4320" w:hanging="3600"/>
    </w:pPr>
    <w:rPr>
      <w:rFonts w:ascii="Times New Roman" w:eastAsia="Times New Roman" w:hAnsi="Times New Roman" w:cs="Times New Roman"/>
      <w:szCs w:val="20"/>
      <w:lang w:val="en-US" w:eastAsia="en-AU"/>
    </w:rPr>
  </w:style>
  <w:style w:type="character" w:customStyle="1" w:styleId="a8">
    <w:name w:val="Основной текст с отступом Знак"/>
    <w:basedOn w:val="a0"/>
    <w:link w:val="a7"/>
    <w:rsid w:val="00D00847"/>
    <w:rPr>
      <w:rFonts w:ascii="Times New Roman" w:eastAsia="Times New Roman" w:hAnsi="Times New Roman" w:cs="Times New Roman"/>
      <w:szCs w:val="20"/>
      <w:lang w:val="en-US" w:eastAsia="en-AU"/>
    </w:rPr>
  </w:style>
  <w:style w:type="character" w:styleId="a9">
    <w:name w:val="annotation reference"/>
    <w:uiPriority w:val="99"/>
    <w:semiHidden/>
    <w:unhideWhenUsed/>
    <w:rsid w:val="00D00847"/>
    <w:rPr>
      <w:sz w:val="16"/>
      <w:szCs w:val="16"/>
    </w:rPr>
  </w:style>
  <w:style w:type="paragraph" w:customStyle="1" w:styleId="wbodyDBArial11">
    <w:name w:val="wbody_DB_Arial11"/>
    <w:rsid w:val="00D00847"/>
    <w:pPr>
      <w:widowControl w:val="0"/>
      <w:suppressAutoHyphens/>
      <w:spacing w:after="0" w:line="240" w:lineRule="auto"/>
    </w:pPr>
    <w:rPr>
      <w:rFonts w:ascii="Arial" w:eastAsia="Arial" w:hAnsi="Arial" w:cs="Times New Roman"/>
      <w:kern w:val="1"/>
      <w:szCs w:val="24"/>
    </w:rPr>
  </w:style>
  <w:style w:type="paragraph" w:customStyle="1" w:styleId="Default">
    <w:name w:val="Default"/>
    <w:rsid w:val="00D0084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aa">
    <w:name w:val="List Paragraph"/>
    <w:basedOn w:val="a"/>
    <w:uiPriority w:val="34"/>
    <w:qFormat/>
    <w:rsid w:val="00D00847"/>
    <w:pPr>
      <w:ind w:left="720"/>
      <w:contextualSpacing/>
    </w:pPr>
  </w:style>
  <w:style w:type="character" w:styleId="ab">
    <w:name w:val="Hyperlink"/>
    <w:basedOn w:val="a0"/>
    <w:uiPriority w:val="99"/>
    <w:unhideWhenUsed/>
    <w:rsid w:val="000C1FF3"/>
    <w:rPr>
      <w:color w:val="0563C1" w:themeColor="hyperlink"/>
      <w:u w:val="single"/>
    </w:rPr>
  </w:style>
  <w:style w:type="character" w:customStyle="1" w:styleId="10">
    <w:name w:val="Заголовок 1 Знак"/>
    <w:basedOn w:val="a0"/>
    <w:link w:val="1"/>
    <w:uiPriority w:val="9"/>
    <w:rsid w:val="00C22FF6"/>
    <w:rPr>
      <w:rFonts w:asciiTheme="majorHAnsi" w:eastAsiaTheme="majorEastAsia" w:hAnsiTheme="majorHAnsi" w:cstheme="majorBidi"/>
      <w:color w:val="2E74B5" w:themeColor="accent1" w:themeShade="BF"/>
      <w:sz w:val="32"/>
      <w:szCs w:val="32"/>
    </w:rPr>
  </w:style>
  <w:style w:type="paragraph" w:styleId="ac">
    <w:name w:val="endnote text"/>
    <w:basedOn w:val="a"/>
    <w:link w:val="ad"/>
    <w:uiPriority w:val="99"/>
    <w:semiHidden/>
    <w:unhideWhenUsed/>
    <w:rsid w:val="00AC7F43"/>
    <w:pPr>
      <w:spacing w:after="0" w:line="240" w:lineRule="auto"/>
    </w:pPr>
    <w:rPr>
      <w:sz w:val="20"/>
      <w:szCs w:val="20"/>
    </w:rPr>
  </w:style>
  <w:style w:type="character" w:customStyle="1" w:styleId="ad">
    <w:name w:val="Текст концевой сноски Знак"/>
    <w:basedOn w:val="a0"/>
    <w:link w:val="ac"/>
    <w:uiPriority w:val="99"/>
    <w:semiHidden/>
    <w:rsid w:val="00AC7F43"/>
    <w:rPr>
      <w:sz w:val="20"/>
      <w:szCs w:val="20"/>
    </w:rPr>
  </w:style>
  <w:style w:type="character" w:styleId="ae">
    <w:name w:val="endnote reference"/>
    <w:basedOn w:val="a0"/>
    <w:uiPriority w:val="99"/>
    <w:semiHidden/>
    <w:unhideWhenUsed/>
    <w:rsid w:val="00AC7F43"/>
    <w:rPr>
      <w:vertAlign w:val="superscript"/>
    </w:rPr>
  </w:style>
  <w:style w:type="paragraph" w:styleId="af">
    <w:name w:val="footnote text"/>
    <w:basedOn w:val="a"/>
    <w:link w:val="af0"/>
    <w:uiPriority w:val="99"/>
    <w:semiHidden/>
    <w:unhideWhenUsed/>
    <w:rsid w:val="00AC7F43"/>
    <w:pPr>
      <w:spacing w:after="0" w:line="240" w:lineRule="auto"/>
    </w:pPr>
    <w:rPr>
      <w:sz w:val="20"/>
      <w:szCs w:val="20"/>
    </w:rPr>
  </w:style>
  <w:style w:type="character" w:customStyle="1" w:styleId="af0">
    <w:name w:val="Текст сноски Знак"/>
    <w:basedOn w:val="a0"/>
    <w:link w:val="af"/>
    <w:uiPriority w:val="99"/>
    <w:semiHidden/>
    <w:rsid w:val="00AC7F43"/>
    <w:rPr>
      <w:sz w:val="20"/>
      <w:szCs w:val="20"/>
    </w:rPr>
  </w:style>
  <w:style w:type="character" w:styleId="af1">
    <w:name w:val="footnote reference"/>
    <w:basedOn w:val="a0"/>
    <w:uiPriority w:val="99"/>
    <w:semiHidden/>
    <w:unhideWhenUsed/>
    <w:rsid w:val="00AC7F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77103">
      <w:bodyDiv w:val="1"/>
      <w:marLeft w:val="0"/>
      <w:marRight w:val="0"/>
      <w:marTop w:val="0"/>
      <w:marBottom w:val="0"/>
      <w:divBdr>
        <w:top w:val="none" w:sz="0" w:space="0" w:color="auto"/>
        <w:left w:val="none" w:sz="0" w:space="0" w:color="auto"/>
        <w:bottom w:val="none" w:sz="0" w:space="0" w:color="auto"/>
        <w:right w:val="none" w:sz="0" w:space="0" w:color="auto"/>
      </w:divBdr>
    </w:div>
    <w:div w:id="209454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kase.kz/en/money_market/repo-indicators/tonia_compounded/"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d45786f-a737-4735-8af6-df12fb6939a2" origin="userSelected">
  <element uid="9c87da95-7b2f-439f-bfd9-321fc51f6870" value=""/>
  <element uid="214105f6-acd4-485a-afa0-a0b988f7534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BBBF-D357-4174-B6CA-FF515DEAFF3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3C77EDA-E641-4563-9750-F9CF1A641CAC}">
  <ds:schemaRefs>
    <ds:schemaRef ds:uri="http://schemas.openxmlformats.org/officeDocument/2006/bibliography"/>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Berispek, Ceren</dc:creator>
  <cp:keywords>[EBRD/NON-BANK USE]</cp:keywords>
  <dc:description/>
  <cp:lastModifiedBy>Илья Боровой</cp:lastModifiedBy>
  <cp:revision>2</cp:revision>
  <cp:lastPrinted>2023-04-05T09:17:00Z</cp:lastPrinted>
  <dcterms:created xsi:type="dcterms:W3CDTF">2025-07-29T04:24:00Z</dcterms:created>
  <dcterms:modified xsi:type="dcterms:W3CDTF">2025-07-29T04:24:00Z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abce9aa0-55d6-49a8-a214-9ccc7298f448</vt:lpwstr>
  </property>
  <property fmtid="{D5CDD505-2E9C-101B-9397-08002B2CF9AE}" pid="3" name="bjSaver">
    <vt:lpwstr>OOSh+ZKP5arzTQxRQaxElyDKviZxvsLW</vt:lpwstr>
  </property>
  <property fmtid="{D5CDD505-2E9C-101B-9397-08002B2CF9AE}" pid="4" name="bjDocumentSecurityLabel">
    <vt:lpwstr>NON-BANK USE</vt:lpwstr>
  </property>
  <property fmtid="{D5CDD505-2E9C-101B-9397-08002B2CF9AE}" pid="5" name="bjDocumentLabelXML">
    <vt:lpwstr>&lt;?xml version="1.0" encoding="us-ascii"?&gt;&lt;sisl xmlns:xsd="http://www.w3.org/2001/XMLSchema" xmlns:xsi="http://www.w3.org/2001/XMLSchema-instance" sislVersion="0" policy="1d45786f-a737-4735-8af6-df12fb6939a2" origin="userSelected" xmlns="http://www.boldonj</vt:lpwstr>
  </property>
  <property fmtid="{D5CDD505-2E9C-101B-9397-08002B2CF9AE}" pid="6" name="bjDocumentLabelXML-0">
    <vt:lpwstr>ames.com/2008/01/sie/internal/label"&gt;&lt;element uid="9c87da95-7b2f-439f-bfd9-321fc51f6870" value="" /&gt;&lt;element uid="214105f6-acd4-485a-afa0-a0b988f7534c" value="" /&gt;&lt;/sisl&gt;</vt:lpwstr>
  </property>
  <property fmtid="{D5CDD505-2E9C-101B-9397-08002B2CF9AE}" pid="7" name="bjClsUserRVM">
    <vt:lpwstr>[]</vt:lpwstr>
  </property>
  <property fmtid="{D5CDD505-2E9C-101B-9397-08002B2CF9AE}" pid="8" name="ClassificationContentMarkingHeaderShapeIds">
    <vt:lpwstr>68473c0c,4f3a88a0,4d7ceb77</vt:lpwstr>
  </property>
  <property fmtid="{D5CDD505-2E9C-101B-9397-08002B2CF9AE}" pid="9" name="ClassificationContentMarkingHeaderFontProps">
    <vt:lpwstr>#0000ff,10,Calibri</vt:lpwstr>
  </property>
  <property fmtid="{D5CDD505-2E9C-101B-9397-08002B2CF9AE}" pid="10" name="ClassificationContentMarkingHeaderText">
    <vt:lpwstr>OFFICIAL USE</vt:lpwstr>
  </property>
  <property fmtid="{D5CDD505-2E9C-101B-9397-08002B2CF9AE}" pid="11" name="ClassificationContentMarkingFooterShapeIds">
    <vt:lpwstr>7b50f3d8,790c1c24,48f8d00e</vt:lpwstr>
  </property>
  <property fmtid="{D5CDD505-2E9C-101B-9397-08002B2CF9AE}" pid="12" name="ClassificationContentMarkingFooterFontProps">
    <vt:lpwstr>#0000ff,10,Calibri</vt:lpwstr>
  </property>
  <property fmtid="{D5CDD505-2E9C-101B-9397-08002B2CF9AE}" pid="13" name="ClassificationContentMarkingFooterText">
    <vt:lpwstr>OFFICIAL USE</vt:lpwstr>
  </property>
</Properties>
</file>